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RH.2014.3 vom 5. März 2014</w:t>
      </w:r>
    </w:p>
    <w:p>
      <w:r>
        <w:t>Bundesstrafgericht, 2014-03-05, DE</w:t>
      </w:r>
    </w:p>
    <w:p>
      <w:r>
        <w:rPr>
          <w:b/>
        </w:rPr>
        <w:t xml:space="preserve">Quelle: </w:t>
      </w:r>
      <w:r>
        <w:t>https://mcp.opencaselaw.ch/entscheid/bstger_RH.2014.3</w:t>
      </w:r>
    </w:p>
    <w:p>
      <w:r>
        <w:t>FR: TPF RH.2014.3 du 5 mars 2014</w:t>
      </w:r>
    </w:p>
    <w:p>
      <w:r>
        <w:t>IT: TPF RH.2014.3 del 5 marzo 2014</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Auslieferungshaft zwischen der Schweiz und Deutschland sind primär das Europäische Auslieferungsüber- einkommen vom 13. Dezember 1957 (EAUe, SR 0.353.1), das hierzu er- gangene zweite Zusatzprotokoll vom 17. März 1978 (2. ZP EAUe, SR 0.353.12), welchem beide Staaten beigetreten sind, sowie der Vertrag vom 13. November 1969 zwischen der Schweizerischen Eidgenossen- schaft und der Bundesrepublik Deutschland über die Ergänzung des EAUe und die Erleichterung seiner Anwendung (ZV EAUe,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(BGE 136 IV 88 E. 3.1 S. 89), wobei die zwischen den Ver- tragsparteien geltenden weitergehenden Bestimmungen aufgrund bilatera- 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Rechtshilfegesetz und die Verordnung vom 24. Februar 1982 über internationale Rechtshilfe in Strafsachen (Rechtshilfeverordnung, IRSV; SR 351.11). Dies gilt auch im Verhältnis zum SDÜ (Art. 1 Abs. 1 lit. a IRSG). Das innerstaatliche Recht gelangt</w:t>
      </w:r>
    </w:p>
    <w:p>
      <w:r>
        <w:t>- 5 -</w:t>
      </w:r>
    </w:p>
    <w:p>
      <w:r>
        <w:t>nach dem Günstigkeitsprinzip auch dann zur Anwendung, wenn dieses ge- ringere Anforderungen an die Auslieferung stellt (BGE 137 IV 33 E. 2.2.2 S. 40 f.; 136 IV 82 E. 3.1; 122 II 140 E. 2 S. 142). Vorbehalten bleibt die Wahrung der Menschenrechte (BGE 135 IV 212 E. 2.3; 123 II 595 E. 7c S. 616).</w:t>
      </w:r>
    </w:p>
    <w:p>
      <w:r>
        <w:rPr>
          <w:b/>
        </w:rPr>
        <w:t>E. 2.1</w:t>
      </w:r>
    </w:p>
    <w:p>
      <w:r>
        <w:t>Gegen den Auslieferungshaftbefehl des BJ kann der Verfolgte innert zehn Tagen ab der schriftlichen Eröffnung Beschwerde bei der Beschwerde- kammer des Bundesstrafgerichts führen. Für das Beschwerdeverfahren gelten die Art. 379 – 397 StPO sinngemäss (Art. 48 Abs. 2 i.V.m. Art. 47 IRSG).</w:t>
      </w:r>
    </w:p>
    <w:p>
      <w:r>
        <w:rPr>
          <w:b/>
        </w:rPr>
        <w:t>E. 2.2</w:t>
      </w:r>
    </w:p>
    <w:p>
      <w:r>
        <w:t>Der vorliegend angefochtene Auslieferungshaftbefehl wurde dem Be- schwerdeführer am 13. Februar 2014 schriftlich eröffnet. Seine Beschwer- de, die am 21. Februar 2014 der Gefängnisverwaltung zum Postversand übergeben wurde, erweist sich als fristgerecht. Seine verbesserte Be- schwerdefrist ist ebenfalls innert Frist eingegangen (s. supra lit. C). Die üb- rigen Eintretensvoraussetzungen geben keinen Anlass zu weiteren Bemer- kungen. Auf die Beschwerde ist demnach einzutreten.</w:t>
      </w:r>
    </w:p>
    <w:p>
      <w:r>
        <w:rPr>
          <w:b/>
        </w:rPr>
        <w:t>E. 3</w:t>
      </w:r>
    </w:p>
    <w:p>
      <w:r>
        <w:t>Die Beschwerdekammer ist bei ihrem Entscheid weder an die Anträge noch an die Begründungen der Parteien gebunden (Art. 391 Abs. 1 lit. a und b StPO i.V.m. Art. 48 Abs. 2 IRSG). Sie prüft die Auslieferungshaftvorausset- zungen mit freier Kognition, befasst sich jedoch nur mit Tat- und Rechtsfra- gen, die Streitgegenstand der Beschwerde bilden (vgl. hierzu zuletzt u. a. die Entscheide des Bundesstrafgerichts RH.2012.10 vom 7. Septem- ber 2012, E. 3; RH.2012.9 vom 23. August 2012, E. 3; jeweils m.w.H.).</w:t>
      </w:r>
    </w:p>
    <w:p>
      <w:r>
        <w:rPr>
          <w:b/>
        </w:rPr>
        <w:t>E. 4</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oder wenn sich die Auslieferung als offensichtlich unzulässig erweist (Art. 51 Abs. 1 IRSG). Diese Aufzählung ist nicht abschliessend (BGE 130 II 306 E. 2.1; 117 IV</w:t>
      </w:r>
    </w:p>
    <w:p>
      <w:r>
        <w:t>- 6 -</w:t>
      </w:r>
    </w:p>
    <w:p>
      <w:r>
        <w:t>359 E. 2a S. 361; vgl. zum Ganzen zuletzt u. a. die Entscheide des Bun- desstrafgerichts RH.2012.11 vom 3. Oktober 2012, E. 2.1; RH.2012.10 vom 7. September 2012, E. 4). Offensichtlich unzulässig kann ein Ausliefe- rungsersuchen sein, wenn ohne jeden Zweifel und ohne weitere Abklärun- gen ein Ausschlussgrund vorliegt (vgl. BGE 111 IV 108 E. 3a). Im Übrigen sind Vorbringen gegen die Auslieferung als solche oder gegen die Begrün- detheit des Auslieferungsbegehrens nicht im vorliegenden Beschwerdever- fahren, sondern im eigentlichen Auslieferungsverfahren zu prüfen (vgl. LAURENT MOREILLON / MICHEL DUPUIS / MIRIAM MAZOV, La pratique judiciaire du Tribunal pénal fédéral, in Journal des Tribunaux 2009 IV 111 Nr. 190 und 2008 IV 66 Nr. 322 je m.w.H. auf die Rechtsprechung). Diese Rege- lung soll es der Schweiz ermöglichen, ihren staatsvertraglichen Ausliefe- rungspflichten nachzukommen. Die ausnahmsweise zu gewährende Haft- entlassung ist deshalb an strengere Voraussetzungen gebunden als der Verzicht auf die gewöhnliche Untersuchungshaft in einem Strafverfahren oder die Entlassung aus einer solchen (vgl. BGE 130 II 306 E. 2.2 und 2.3; 111 IV 108 E. 2). An diesen Vorgaben hat sich mit der Einführung der Schweizerischen Strafprozessordnung (StPO; SR 312.0) nichts geändert (s. Art. 54 StPO sowie die unveränderte Fortgeltung von Art. 47 IRSG). Der Verweis von Art. 50 Abs. 4 IRSG neu auf die sinngemässe Anwendung von Art. 238 – 240 StPO betrifft ausschliesslich die Sicherheitsleistung als Er- satzmassnahme (wie schon der frühere Verweis auf Art. 53 – 60 des Bun- desgesetzes über die Bundesstrafrechtspflege vom 15. Juni 1934).</w:t>
      </w:r>
    </w:p>
    <w:p>
      <w:r>
        <w:rPr>
          <w:b/>
        </w:rPr>
        <w:t>E. 5.1</w:t>
      </w:r>
    </w:p>
    <w:p>
      <w:r>
        <w:t>Der Beschwerdeführer stellt den Antrag, es seien seine Beistände in Deutschland beizuladen (act. 5.0; act. 8.0).</w:t>
      </w:r>
    </w:p>
    <w:p>
      <w:r>
        <w:rPr>
          <w:b/>
        </w:rPr>
        <w:t>E. 5.2</w:t>
      </w:r>
    </w:p>
    <w:p>
      <w:r>
        <w:t>Sofern sein Antrag sich auf seine Rechtsvertreter in Deutschland bezieht, ist ihm zunächst entgegen zu halten, dass er bereits am 19. Februar 2014 Fürsprecher D. in Bern seine Vollmacht erteilt hat (act. 9.9). Fürsprecher D. wurde dem Beschwerdeführer durch den Beschwerdegegner als amtlicher Rechtsbeistand für das Auslieferungsverfahren bestellt (act. 9.10). Für- sprecher D. wurde auch durch den Beschwerdegegner über das von sei- nem Mandanten persönlich eingeleitete Beschwerdeverfahren in Kenntnis gesetzt. Bis dato hat Fürsprecher D. die Vertretung für den Beschwerdefüh- rer im Beschwerdeverfahren indes nicht angezeigt. Ist der Beschwerdefüh- rer im Auslieferungsverfahren bereits vertreten und überlässt sein Rechts- vertreter die Führung des Beschwerdeverfahrens dem Beschwerdeführer persönlich, besteht kein Grund zur beantragten "Beiladung" anderer Rechtsvertreter. Mit Bezug auf das vorliegende Beschwerdeverfahren er- scheint der Beschwerdeführer aufgrund der bisher gemachten Eingaben</w:t>
      </w:r>
    </w:p>
    <w:p>
      <w:r>
        <w:t>- 7 -</w:t>
      </w:r>
    </w:p>
    <w:p>
      <w:r>
        <w:t>zudem durchaus in der Lage zu sein, das Verfahren selbständig zu führen. Sein Antrag ist entsprechend abzuweisen.</w:t>
      </w:r>
    </w:p>
    <w:p>
      <w:r>
        <w:rPr>
          <w:b/>
        </w:rPr>
        <w:t>E. 6</w:t>
      </w:r>
    </w:p>
    <w:p>
      <w:r>
        <w:t>Februar 2014 festgenommen worden sein sollen (act. 5; act. 8).</w:t>
      </w:r>
    </w:p>
    <w:p>
      <w:r>
        <w:t>Vor den Pforten des Kindergartens habe ein schwarzer Skoda stark abge- bremst und mehrere vermummte Männer seien aus dem Fahrzeug heraus- gesprungen. Diese hätten sich mit lautem Gebrüll auf ihn und seine Tochter gestürzt und sie beide zu Boden gerissen. Er habe versucht, seine Tochter vor den Tritten und der angewandten Gewalt zu schützen, bis die Männer damit begonnen haben sollen, an den Gliedmassen, Hals und Haaren der Tochter zu zerren. Dann sei seine Tochter von den vermummten Personen schreiend seiner Obhut entrissen und an einen ihm unbekannten Ort ver- schleppt worden. Die Männer hätten ihm Handschellen und Augenbinden angelegt und ihn in das Fahrzeug verbracht (act. 5 S. 3 f.; act. 8 S. 3 f.).</w:t>
      </w:r>
    </w:p>
    <w:p>
      <w:r>
        <w:rPr>
          <w:b/>
        </w:rPr>
        <w:t>E. 6.1</w:t>
      </w:r>
    </w:p>
    <w:p>
      <w:r>
        <w:t>Der Beschwerdeführer übt in der verbesserten Beschwerdeschrift unter an- derem starke Kritik an der Art und Weise, wie er und seine Tochter am</w:t>
      </w:r>
    </w:p>
    <w:p>
      <w:r>
        <w:rPr>
          <w:b/>
        </w:rPr>
        <w:t>E. 6.2</w:t>
      </w:r>
    </w:p>
    <w:p>
      <w:r>
        <w:t>Anfechtungsobjekt der Beschwerde datierend vom 20. Februar 2014 ist der Auslieferungshaftbefehl vom 10. Februar 2014 und nicht die am 6. Febru- ar 2014 erfolgte Festnahme des Beschwerdeführers als Realakt. Die Ein- wände des Beschwerdeführers mit Bezug auf dessen Festnahme sind da- her im vorliegenden Beschwerdeverfahren bereits aus diesem Grund nicht zu untersuchen. Soweit der Beschwerdeführer für seine Tochter "den Ver- stoss gegen den Verhältnismässigkeitsgrundsatz, das Übermassverbot, die Unschuldsvermutung sowie den Verstoss gegen das Verbot jeder Gewalt- und Willkürherrschaft" rügen möchte (act. 5 S. 4), ist zudem festzuhalten, dass allfällige Anordnungen, welche seine Tochter betreffen, ebenfalls nicht Gegenstand des vorliegenden Beschwerdeverfahrens bilden. Damit braucht auch nicht weiter geprüft zu werden, ob der Beschwerdeführer diesbezüglich überhaupt legitimiert wäre.</w:t>
      </w:r>
    </w:p>
    <w:p>
      <w:r>
        <w:rPr>
          <w:b/>
        </w:rPr>
        <w:t>E. 7.1</w:t>
      </w:r>
    </w:p>
    <w:p>
      <w:r>
        <w:t>Der Beschwerdeführer stellt sinngemäss den Antrag, es sei eine mündliche Verhandlung durchzuführen (act. 1). Er rügt sodann, dass er seit seiner In- haftierung keinem Haftrichter vorgeführt und nicht angehört worden sei (act. 5 S. 4).</w:t>
      </w:r>
    </w:p>
    <w:p>
      <w:r>
        <w:rPr>
          <w:b/>
        </w:rPr>
        <w:t>E. 7.2</w:t>
      </w:r>
    </w:p>
    <w:p>
      <w:r>
        <w:t>Jede Person, die wegen hinreichenden Verdachts der Begehung einer Straftat, Fluchtgefahr nach Verüben einer solchen oder zwecks Verhinde- rung eines Delikts von Festnahme oder Freiheitsentzug betroffen ist, muss</w:t>
      </w:r>
    </w:p>
    <w:p>
      <w:r>
        <w:t>- 8 -</w:t>
      </w:r>
    </w:p>
    <w:p>
      <w:r>
        <w:t>unverzüglich einem Richter oder einer anderen gesetzlich zur Wahrneh- mung richterlicher Aufgaben ermächtigten Person vorgeführt werden (Art. 5 Ziff. 3 i.V.m. Art. 5 Ziff. 1 lit. c EMRK). Dieser Richtervorbehalt gilt für Straf- verfahren, nicht jedoch für die Anordnung der Auslieferungshaft (Urteile des Europäischen Gerichtshofes für Menschenrechte i.S. Quinn gegen Frank- reich vom 22. März 1995, Série A, Bd. 311, Ziff. 53; i.S. Bogdanovski ge- gen Italien vom 14. Dezember 2006, Ziff. 59; TPF 2009 145, E. 2.5.2; vgl. auch Entscheid des Bundesstrafgericht RR.2008.46 vom 26. April 2008, E. 3.3). Da der Richtervorbehalt von Art. 5 Ziff. 3 EMRK nur für die Unter- suchungshaft im Sinne von Art. 5 Ziff. 1 lit. c EMRK, nicht jedoch auf die Anordnung der Auslieferungshaft gemäss Art. 5 Ziff. 1 lit. f EMRK gilt, geht seine Rüge fehl.</w:t>
      </w:r>
    </w:p>
    <w:p>
      <w:r>
        <w:rPr>
          <w:b/>
        </w:rPr>
        <w:t>E. 7.3</w:t>
      </w:r>
    </w:p>
    <w:p>
      <w:r>
        <w:t>Was den Antrag auf mündliche Verhandlung anbelangt, ist festzuhalten, dass im Rahmen der Beschwerde in Auslieferungssachen ans Bundes- strafgericht weder das VwVG noch das IRSG eine mündliche öffentliche Verhandlung vorschreiben. Vielmehr ist das Verfahren vor der Beschwer- dekammer des Bundesstrafgerichts im Grundsatz schriftlich. Eine mündli- che Parteiverhandlung kann nach richterlichem Ermessen angeordnet wer- den (Art. 57 Abs. 2 VwVG). Dies kann insbesondere nötig sein, wenn Be- weiserhebungen durch das Gericht sachlich notwendig erscheinen oder wenn die grundrechtlich garantierten Parteirechte eine öffentliche Anhörung verlangen. Art. 6 Ziff. 1 EMRK schreibt eine öffentliche Parteianhörung bei Verfahren betreffend zivilrechtliche Ansprüche und Verpflichtungen vor so- wie bei Urteilen über strafrechtliche Anklagen. Bei der Prüfung von Auslie- ferungsersuchen geht es weder um zivilrechtliche Ansprüche und Verpflich- tungen noch um eine strafrechtliche Anklage. Das Rechtshilfeverfahren stellt kein Strafverfahren dar, bei dem durch den Rechtshilferichter über die allfällige Schuld und Strafe zu entscheiden wäre. Vielmehr werden Rechts- hilfeverfahren als verwaltungsrechtliche Streitsachen betrachtet, was auch für Auslieferungsverfahren gilt (Urteile des Bundesgerichtes 1A.247/2005 vom 25. Oktober 2005, E. 2.2; 1A.225/2003 vom 25. November 2003, E. 1.5, je m.w.H.; s. auch Entscheide des Bundesstrafgerichts RR.2011.91 vom 4. Juli 2011, E. 6; RR.2009.76 vom 9. Juli 2009, E. 2.2; RR.2008.283- 284 vom 24. März 2009, E. 15). Demnach ist dem Verfahrensantrag auf mündliche Verhandlung keine Folge zu leisten.</w:t>
      </w:r>
    </w:p>
    <w:p>
      <w:r>
        <w:rPr>
          <w:b/>
        </w:rPr>
        <w:t>E. 8.1</w:t>
      </w:r>
    </w:p>
    <w:p>
      <w:r>
        <w:t>Gegen den Auslieferungshaftbefehl wendet der Beschwerdeführer ein, der Beschwerdegegner habe seinen, anlässlich der Befragung vom 10. Febru- ar 2014 vorgebrachten Einwänden keine Berücksichtigung im Entscheid</w:t>
      </w:r>
    </w:p>
    <w:p>
      <w:r>
        <w:t>- 9 -</w:t>
      </w:r>
    </w:p>
    <w:p>
      <w:r>
        <w:t>beigemessen. Dadurch sei sein rechtliches Gehör verletzt worden (act. 5 S. 4; act. 8 S. 4).</w:t>
      </w:r>
    </w:p>
    <w:p>
      <w:r>
        <w:rPr>
          <w:b/>
        </w:rPr>
        <w:t>E. 8.2</w:t>
      </w:r>
    </w:p>
    <w:p>
      <w:r>
        <w:t>Der in Art. 29 Abs. 2 BV verankerte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 führen, die tatsächlich ihrem Entscheid zugrunde liegen (vgl. zum Ganzen BGE 126 I 97 E. 2b S. 102 f. m.w.H.; Entscheid des Bundesstrafgerichts RR.2011.175 vom 28. Juli 2011, E. 5.2).</w:t>
      </w:r>
    </w:p>
    <w:p>
      <w:r>
        <w:rPr>
          <w:b/>
        </w:rPr>
        <w:t>E. 8.3</w:t>
      </w:r>
    </w:p>
    <w:p>
      <w:r>
        <w:t>Das Recht, angehört zu werden, ist sodann formeller Natur. Eine Verlet- zung des Anspruchs auf rechtliches Gehör durch die ausführende Behörde führt jedoch nicht automatisch zur Gutheissung der Beschwerde und zur Aufhebung des angefochtenen Entscheids. Nach der Rechtsprechung kann eine Verletzung des rechtlichen Gehörs geheilt werden, wenn die betroffe- ne Person die Möglichkeit erhält, sich vor einer Beschwerdeinstanz zu äus- sern, die über die gleiche Überprüfungsbefugnis wie die ausführende Be- hörde verfügt (vgl. BGE 133 I 201 E. 2.2 S. 204; 124 II 132 E. 2d S. 138; Urteil des Bundesgerichts 1C_305/2011 vom 19. Juli 2011, E. 1.3; Ent- scheid des Bundesstrafgerichts RR.2008.189 vom 3. November 2008, E. 2.2, je m.w.H.; ROBERT ZIMMERMANN, La coopération judiciaire internati- onale en matière pénale, 3. Aufl., Bern 2009, S. 437 N. 472).</w:t>
      </w:r>
    </w:p>
    <w:p>
      <w:r>
        <w:rPr>
          <w:b/>
        </w:rPr>
        <w:t>E. 8.4</w:t>
      </w:r>
    </w:p>
    <w:p>
      <w:r>
        <w:t>Der Beschwerdegegner hat im Auslieferungshaftbefehl mit Nennung des Verhaftsersuchens zwecks Auslieferung (d.h. die SIS-Ausschreibung vom</w:t>
      </w:r>
    </w:p>
    <w:p>
      <w:r>
        <w:rPr>
          <w:b/>
        </w:rPr>
        <w:t>E. 11</w:t>
      </w:r>
    </w:p>
    <w:p>
      <w:r>
        <w:t>Dezember 2013), des dem Ersuchen zugrundeliegenden Haftbefehls des Amtsgerichts Nürnberg vom 26. November 2013 wegen Entziehens von Minderjährigen und der Wiedergabe des dem Beschwerdeführer vor- geworfenen Sachverhalts diejenigen Argumente aufgeführt, welche seinem Auslieferungshaftbefehl zugrunde liegen. Dass die Vorinstanz die Einwen- dungen des Beschwerdeführers für ihren Entscheid nicht als massgeblich einstufte, brauchte sie nicht im Einzelnen darzulegen. Von ihr zu erwarten, dass sie sich ausdrücklich mit jeder Behauptung und jedem Einwand des</w:t>
      </w:r>
    </w:p>
    <w:p>
      <w:r>
        <w:t>- 10 -</w:t>
      </w:r>
    </w:p>
    <w:p>
      <w:r>
        <w:t>Beschwerdeführers auseinanderzusetzen hat, würde zudem bedeuten, im Auslieferungshaftverfahren nicht mehr vertretbare zeitliche Verzögerungen beim Erlass des Auslieferungshaftbefehls in Kauf zu nehmen. Festzuhalten bleibt, dass eine allfällige vorinstanzliche Gehörsverletzung im vorliegen- den Beschwerdeverfahren geheilt worden wäre.</w:t>
      </w:r>
    </w:p>
    <w:p>
      <w:r>
        <w:t>9.</w:t>
      </w:r>
    </w:p>
    <w:p>
      <w:r>
        <w:t>9.1 Der Beschwerdeführer bringt vor, dass der Haftbefehl der Nürnberger Jus- tiz für sich selbst gesehen keine Rechtskraft erreichen könne und ein Aus- lieferungsersuchen der deutschen Behörde nicht vorliege (act. 5 S. 5; act. 8 S. 5). Weiter bestreitet er, dass eine "rechtskräftige Beurkundung" vorliege, soweit behauptet werde, dass ein rechtskräftiger Haftbefehl gegen ihn vor- liege (act. 5 S. 5; act. 8 S. 5). Er beantragte sodann, es sei die Echtheit und Rechtmässigkeit der Haftbefehle zu prüfen und festzustellen, dass diese nicht gegeben seien (act. 5.0; act. 8.0). 9.2 Gemäss Art. 16 Ziff. 2 EAUe ist dem Ersuchen um vorläufige Verhaftung anzuführen, dass eine der in Art. 12 Ziff. 2 lit. a EAUe erwähnten Urkunden vorhanden ist. Dabei handelt es sich um die Urschrift oder eine beglaubigte Abschrift eines vollstreckbaren verurteilenden Erkenntnisses, eines Haftbe- fehls oder jeder anderen, nach den Formvorschriften des ersuchenden Staates ausgestellten Urkunde mit gleicher Rechtswirkung.</w:t>
      </w:r>
    </w:p>
    <w:p>
      <w:r>
        <w:t>9.3 Der Ausschreibung im SIS vom 11. Dezember 2013 liegt der Haftbefehl des Amtsgerichts Nürnberg vom 26. November 2013 zu Grunde. In diesem Sinne genügt das Ersuchen der deutschen Behörden um vorläufige Verhaf- tung grundsätzlich den vorerwähnten Anforderungen von Art. 16 Ziff. 2 EAUe. Eine "rechtskräftige Beurkundung" wird nicht verlangt. Im Übrigen reichten die deutschen Behörden mit Schreiben vom 17. Februar 2014 be- reits das formelle Auslieferungsersuchen samt den betreffenden Haftbefehl ein (act. 9.7).</w:t>
      </w:r>
    </w:p>
    <w:p>
      <w:r>
        <w:t>9.4 Soweit der Beschwerdeführer die Rechtmässigkeit und Gültigkeit des deut- schen Haftbefehls bestreitet, ist ihm entgegen zu halten, dass die Gültigkeit von ausländischen Verfahrensentscheiden nur ausnahmsweise, wenn be- sonders schwere Verletzungen des ausländischen Rechts vorliegen, über- prüft wird. Dies ist der Fall, wenn das Rechtshilfeersuchen rechtsmiss- bräuchlich erscheint und Zweifel aufkommen, ob die grundsätzlichen Ver- teidigungsrechte im ausländischen Verfahren gewahrt werden bzw. ge- wahrt worden sind (Urteil des Bundesgerichtes 1A.15/2002 vom 5. März 2002, E. 3.2; Entscheid des Bundesstrafgerichts RR.2008.257 vom 4. De- zember 2008, E. 3.2). Der Beschwerdeführer bringt nichts vor, was eine nur</w:t>
      </w:r>
    </w:p>
    <w:p>
      <w:r>
        <w:t>- 11 -</w:t>
      </w:r>
    </w:p>
    <w:p>
      <w:r>
        <w:t>ausnahmsweise vorzunehmende Überprüfung der ausländischen Ent- scheide nach ausländischem Recht rechtfertigen würde.</w:t>
      </w:r>
    </w:p>
    <w:p>
      <w:r>
        <w:t>9.5 Die Rügen des Beschwerdeführers gehen demnach allesamt fehl und die Auslieferungshaft erweist sich unter dem geprüften Blickwinkel als zulässig.</w:t>
      </w:r>
    </w:p>
    <w:p>
      <w:r>
        <w:t>10.</w:t>
      </w:r>
    </w:p>
    <w:p>
      <w:r>
        <w:t>10.1 Zur Begründung seiner Beschwerde gegen den Auslieferungshaftbefehl bringt er sodann vor, dass er und seine Tochter in Deutschland kein faires Verfahren und auch keine menschliche und würdevolle Behandlung erhal- ten würden (act. 5 S. 5; act. 8 S. 5). Es ist anzunehmen, dass er sich damit sowohl auf das Verfahren um Zu-/Umteilung der Obhut über seine Tochter B. als auch auf das Ermittlungsverfahren gegen ihn wegen Entziehens von Minderjährigen bezieht. 10.2 Diese Einwände betreffen grundsätzlich die Voraussetzungen der Ausliefe- rung selbst und sind deshalb im vorliegenden Verfahren lediglich dahinge- hend zu prüfen, ob ohne jeden Zweifel und ohne weitere Abklärungen die geltend gemachten Ausschlussgründe vorliegen (s. supra E. 4). Bei einer prima facie Beurteilung ist die Subsumption des dem Beschwerdeführer vorgeworfenen Sachverhalts (s. supra lit. A) unter den subjektiven und ob- jektiven Tatbestand des Entziehens von Unmündigen gemäss Art. 220 StGB nicht auszuschliessen. Entgegen der Argumentation des Beschwer- deführers vermag der Umstand, dass er der Vater von B. ist, die Strafbar- keit des Beschwerdeführers nicht von vornherein auszuschliessen. Täter kann grundsätzlich jedermann sein, der die elterliche oder vormundschaftli- che Sorge nicht allein und uneingeschränkt ausübt. Unter bestimmten Um- ständen kann auch ein Elternteil Täter sein (ANDREAS ECKERT, BSK Straf- recht II, Art. 11- 392 StGB, 3. Aufl., Art. 220 N. 8). Ebenso lassen sich die weiteren Ausschlussgründe nicht ohne weitere Abklärungen prüfen, wes- halb auch unter diesem Titel die Auslieferung nicht als offensichtlich unzu- lässig erscheint. Soweit der Beschwerdeführer die Strafbarkeit nach deut- schem Recht bestreitet und Notstandsgründe geltend macht, beruft er sich ausserdem auf im Auslieferungsrecht grundsätzlich nicht zu berücksichti- gende Ausschlussgründe, weshalb sich unter diesem Titel eine Entlassung aus der Auslieferungshaft bereits im Ansatz nicht begründen liesse. So ist die Strafbarkeit nach ausländischem Recht vom Rechtshilferichter grund- sätzlich nicht zu überprüfen (Entscheid des Bundesstrafgerichts RR.2009.328 vom 8. April 2010, E. 3.4 m.w.H.). Rechtfertigungsgründe, Schuld- oder Strafausschliessungsgründe oder sonstige Verfolgungshin- dernisse haben bei der Prüfung der beidseitigen Strafbarkeit ebenfalls aus- ser Betracht zu bleiben (BGE 117 Ib 64 E. 5c S. 90).</w:t>
      </w:r>
    </w:p>
    <w:p>
      <w:r>
        <w:t>- 12 -</w:t>
      </w:r>
    </w:p>
    <w:p>
      <w:r>
        <w:rPr>
          <w:b/>
        </w:rPr>
        <w:t>E. 11.1</w:t>
      </w:r>
    </w:p>
    <w:p>
      <w:r>
        <w:t>Der Beschwerdeführer rügt den Verstoss gegen den Verhältnismässig- keitsgrundsatz (act. 5 S. 4). Er führt allerdings nicht aus, inwiefern der Aus- lieferungshaftbefehl gegen das Verhältnismässigkeitsprinzip verstossen soll.</w:t>
      </w:r>
    </w:p>
    <w:p>
      <w:r>
        <w:rPr>
          <w:b/>
        </w:rPr>
        <w:t>E. 11.2</w:t>
      </w:r>
    </w:p>
    <w:p>
      <w:r>
        <w:t>Soweit er die angeordnete Auslieferungshaft mit Bezug auf die ihm dro- hende Höchststrafe als unverhältnismässig erachten sollte, ist anzuführen, dass gemäss dem Sirene Formular A dem Beschwerdeführer für den ihm vorgeworfenen Sachverhalt eine Höchststrafe von 5 Jahren Freiheitsstrafe droht (act. 9.1). Unter diesem Blickwinkel betrachtet erweist sich die ange- ordnete Auslieferungshaft nicht als unverhältnismässig. Nach dem Gesag- ten ginge diese Rüge des Beschwerdeführers fehl.</w:t>
      </w:r>
    </w:p>
    <w:p>
      <w:r>
        <w:rPr>
          <w:b/>
        </w:rPr>
        <w:t>E. 11.3</w:t>
      </w:r>
    </w:p>
    <w:p>
      <w:r>
        <w:t>Soweit der Beschwerdeführer mit seinem Einwand vorbringen wollte, die Anordnung der Auslieferungshaft sei unverhältnismässig, da er die Schweiz während der Dauer des Auslieferungsverfahrens nicht verlassen würde und Ersatzmassnahmen genügen würden, würde er damit die Fluchtgefahr be- streiten.</w:t>
      </w:r>
    </w:p>
    <w:p>
      <w:r>
        <w:t>Eine Aufhebung des Auslieferungshaftbefehls sowie eine Haftentlassung rechtfertigen sich ausnahmsweise unter anderem dann, wenn der Beschul- digte sich voraussichtlich der Auslieferung nicht entzieht und die Strafun- tersuchung nicht gefährdet (Art. 47 Abs. 1 lit. a IRSG). Die Rechtsprechung des Bundesgerichts ist hinsichtlich der Verneinung von Fluchtgefahr bei- spielsweise aus familiären Gründen überaus restriktiv und misst der Erfül- lung der staatsvertraglichen Auslieferungspflichten im Vergleich zu den In- teressen des Verfolgten ausserordentlich grosses Gewicht bei (vgl. BGE 130 II 306 E. 2 S. 310 ff. m.w.H.; TPF 2008 61 E. 7; Entscheide des Bundesstrafgerichts BH.2005.45 vom 20. Dezember 2005, E. 2.2.2; BH.2005.8 vom 7. April 2005, E. 2.3; RR.2008.214 vom 16. Septem- ber 2008, E. 3.2, RR.2007.174 vom 27. November 2007, E. 5.2, RR.2007.72 vom 29. Mai 2007, E. 4.2 und 4.3). Bei drohenden, hohen Freiheitsstrafen ist eine Fluchtgefahr gemäss der Rechtsprechung in der Regel trotz Niederlassungsbewilligung und familiären Bindungen in der Schweiz gegeben.</w:t>
      </w:r>
    </w:p>
    <w:p>
      <w:r>
        <w:t>Im Lichte dieser restriktiven Praxis ist vorliegend ohne Weiteres von Fluchtgefahr auszugehen. Der Beschwerdeführer hält sich erst seit Kurzem in der Schweiz auf und hat keine familiären Bindungen in der Schweiz. In Deutschland droht ihm sodann eine mehrjährige Freiheitsstrafe. Die sich aus den genannten Umständen ergebende Fluchtgefahr kann durch Er- satzmassnahmen nicht gebannt werden.</w:t>
      </w:r>
    </w:p>
    <w:p>
      <w:r>
        <w:t>- 13 -</w:t>
      </w:r>
    </w:p>
    <w:p>
      <w:r>
        <w:rPr>
          <w:b/>
        </w:rPr>
        <w:t>E. 12</w:t>
      </w:r>
    </w:p>
    <w:p>
      <w:r>
        <w:t>Andere Gründe, welche eine Auslieferung offensichtlich auszuschliessen oder sonst zu einer Aufhebung der Auslieferungshaft zu führen vermöch- ten, werden weder geltend gemacht noch sind solche ersichtlich. Die Be- schwerde erweist sich nach dem Gesagten in der Hauptsache als offen- sichtlich unbegründet.</w:t>
      </w:r>
    </w:p>
    <w:p>
      <w:r>
        <w:rPr>
          <w:b/>
        </w:rPr>
        <w:t>E. 13.1</w:t>
      </w:r>
    </w:p>
    <w:p>
      <w:r>
        <w:t>Der Beschwerdeführer beantragt, es sei ihm die telefonische Kontaktauf- nahme zu seinen bevollmächtigten Beiständen zu gestatten. Er beantragt ferner, ihm zur Verteidigung seiner Rechte und der seiner Tochter den be- schlagnahmten Laptop zur Ausarbeitung seiner Schriftsätze und Nachweis- führung aus seiner Zelle aus zur Verfügung zu stellen (act. 1 und 7). Er bringt vor, es müsse die Spiegelung des beschlagnahmten Datenträgers als milderes Mittel in Betracht gezogen werden, soweit die Begründung für die Beschlagnahme darauf abstelle, ins Blaue hinein zu ermitteln (act. 5.0).</w:t>
      </w:r>
    </w:p>
    <w:p>
      <w:r>
        <w:rPr>
          <w:b/>
        </w:rPr>
        <w:t>E. 13.2</w:t>
      </w:r>
    </w:p>
    <w:p>
      <w:r>
        <w:t>Im Beschwerdeverfahren gegen den Auslieferungshaftbefehl sind die Aus- lieferungshaftvoraussetzungen zu prüfen. Die Vollzugsmodalitäten der Aus- lieferungshaft bilden nicht Gegenstand des angefochtenen Auslieferungs- haftbefehls. Eine diesbezügliche Verfügung des BJ liegt somit nicht vor, weshalb auf den betreffenden Antrag des Beschwerdeführers nicht einzu- treten ist. Der Beschwerdeführer ist mit seinem Antrag an das BJ zu ver- weisen (s. Art. 49 Abs. 1 IRSG i.V.m. Art. 20 Abs. 1 und 2 IRSV).</w:t>
      </w:r>
    </w:p>
    <w:p>
      <w:r>
        <w:rPr>
          <w:b/>
        </w:rPr>
        <w:t>E. 14.1</w:t>
      </w:r>
    </w:p>
    <w:p>
      <w:r>
        <w:t>Der Beschwerdeführer beantragt neben der Aufhebung des Auslieferungs- haftbefehls die Rückgabe der beschlagnahmte Gegenstände (act. 5.0).</w:t>
      </w:r>
    </w:p>
    <w:p>
      <w:r>
        <w:rPr>
          <w:b/>
        </w:rPr>
        <w:t>E. 14.2</w:t>
      </w:r>
    </w:p>
    <w:p>
      <w:r>
        <w:t>Die Sicherstellung im Sinne von Art. 45 Abs. 1 und Art. 47 Abs. 3 IRSG ist eine vorläufige prozessuale Massnahme zur Beweissicherung bzw. zur Si- cherung des durch die strafbare Handlung erzielten unrechtmässigen Ge- winnes, die noch keinen materiellen Eingriff in die Vermögensrechte des Betroffenen darstellt. Sie weist lediglich konservatorischen Charakter auf und erfolgt unter Vorbehalt eines späteren Entscheides über deren Aus- händigung gemäss Art. 55 Abs. 1 IRSG, dem sie in keiner Weise vorgreift. Nach Art. 62 Abs. 2 IRSG kann persönliches Eigentum des Verfolgten zur Deckung der Kosten des Auslieferungsverfahrens verwendet werden, so- weit es nicht auszuliefern ist. Hieraus folgt deshalb, dass eine Sicherstel- lung auch dann zulässig ist, wenn sich unter den sicherzustellenden Ge- genständen und Vermögenswerten solche befinden, die voraussichtlich nicht auszuliefern sind, aber zur Kostendeckung verwendet werden kön- nen. Die sicherzustellenden Gegenstände und Vermögenswerte sind im</w:t>
      </w:r>
    </w:p>
    <w:p>
      <w:r>
        <w:t>- 14 -</w:t>
      </w:r>
    </w:p>
    <w:p>
      <w:r>
        <w:t>Auslieferungshaftbefehl möglichst konkret zu bezeichnen (vgl. hiezu BGE 125 IV 30 E. 1a; 121 IV 41 E. 4b bb, je m.w.H., sowie Entscheid des Bundesstrafgericht RR.2007.83 vom 21. Juni 2007, E. 6).</w:t>
      </w:r>
    </w:p>
    <w:p>
      <w:r>
        <w:rPr>
          <w:b/>
        </w:rPr>
        <w:t>E. 14.3</w:t>
      </w:r>
    </w:p>
    <w:p>
      <w:r>
        <w:t>Im Auslieferungshaftbefehl vom 10. Februar 2014 ordnete der Beschwer- degegner gestützt auf Art. 45 Abs. 1 IRSG die bei der Festnahme des Be- schwerdeführers erfolgte Sicherstellung der Gegenstände und Vermö- genswerte des Beschwerdeführers an (act. 1.0). Um welche Gegenstände und Vermögenswerte es sich dabei handelt, sind aber weder dem Ausliefe- rungshaftbefehl noch den zugestellten Verfahrensakten zu entnehmen. Gemäss der Darstellung des Beschwerdeführers handle es sich um einen PC und Speichermedien (act. 1 S. 2). Der Beschwerdeführer verkennt vor- liegend, dass es sich bei dieser Sicherstellung (noch) nicht um eine definiti- ve Einziehung der fraglichen Gegenstände und somit einen materiellen Eingriff in sein Eigentum handelt. Über deren Aushändigung und eine allfäl- lige Verwendung zur Deckung der Kosten gemäss Art. 62 Abs. 2 IRSG hat der Beschwerdegegner im Rahmen des Auslieferungsverfahrens zu ent- scheiden (Art. 55 Abs. 1 IRSG). Der Beschwerdeführer ist deshalb im vor- liegenden Beschwerdeverfahren mit seinen Einwendungen nicht zu hören.</w:t>
      </w:r>
    </w:p>
    <w:p>
      <w:r>
        <w:rPr>
          <w:b/>
        </w:rPr>
        <w:t>E. 15</w:t>
      </w:r>
    </w:p>
    <w:p>
      <w:r>
        <w:t>Zusammenfassend erweist sich die Beschwerde in allen Punkten als offen- sichtlich unbegründet und ist daher insgesamt abzuweisen, soweit darauf einzutreten ist.</w:t>
      </w:r>
    </w:p>
    <w:p>
      <w:r>
        <w:rPr>
          <w:b/>
        </w:rPr>
        <w:t>E. 16</w:t>
      </w:r>
    </w:p>
    <w:p>
      <w:r>
        <w:t>Bei diesem Ausgang des Verfahrens sind die Gerichtskosten dem Be- schwerdeführer aufzuerlegen (Art. 63 Abs. 1 VwVG i.V.m. Art. 39 Abs. 2 lit. b StBOG). Die Gerichtsgebühr ist auf Fr. 2'000.-- festzusetzen (Art. 63 Abs. 5 VwVG i.V.m. Art. 39 Abs. 2 lit. b StBOG und Art. 73 StBOG sowie Art. 5 und 8 Abs. 3 lit. a des Reglements des Bundesstrafgerichts vom 31. August 2010 über die Kosten, Gebühren und Entschädigungen in Bun- 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