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RH.2014.20 vom 30. Dezember 2014</w:t>
      </w:r>
    </w:p>
    <w:p>
      <w:r>
        <w:t>Bundesstrafgericht, 2014-12-30, DE</w:t>
      </w:r>
    </w:p>
    <w:p>
      <w:r>
        <w:rPr>
          <w:b/>
        </w:rPr>
        <w:t xml:space="preserve">Quelle: </w:t>
      </w:r>
      <w:r>
        <w:t>https://mcp.opencaselaw.ch/entscheid/bstger_RH.2014.20</w:t>
      </w:r>
    </w:p>
    <w:p>
      <w:r>
        <w:t>FR: TPF RH.2014.20 du 30 décembre 2014</w:t>
      </w:r>
    </w:p>
    <w:p>
      <w:r>
        <w:t>IT: TPF RH.2014.20 del 30 dicembre 2014</w:t>
      </w:r>
    </w:p>
    <w:p>
      <w:pPr>
        <w:pStyle w:val="Heading2"/>
      </w:pPr>
      <w:r>
        <w:t>Regeste</w:t>
      </w:r>
    </w:p>
    <w:p>
      <w:r>
        <w:t>Auslieferung an Deutschland. Auslieferungshaftbefehl (Art. 48 Abs. 2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September 2014);</w:t>
      </w:r>
    </w:p>
    <w:p>
      <w:r>
        <w:t>- für die Berechnung der Gerichtsgebühren das Reglement vom 31. Au- gust 2010 des Bundesstrafgerichts über die Kosten, Gebühren und Ent- schädigungen in Bundesstrafverfahren (BStKR; SR 173.713.162) zur An- wendung gelangt (Art. 63 Abs. 5 VwVG i.V.m. Art. 53 Abs. 2 lit. a StBOG) und die Gerichtsgebühr vorliegend auf Fr. 800.--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