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RH.2014.2 vom 21. Februar 2014</w:t>
      </w:r>
    </w:p>
    <w:p>
      <w:r>
        <w:t>Bundesstrafgericht, 2014-02-21, DE</w:t>
      </w:r>
    </w:p>
    <w:p>
      <w:r>
        <w:rPr>
          <w:b/>
        </w:rPr>
        <w:t xml:space="preserve">Quelle: </w:t>
      </w:r>
      <w:r>
        <w:t>https://mcp.opencaselaw.ch/entscheid/bstger_RH.2014.2</w:t>
      </w:r>
    </w:p>
    <w:p>
      <w:r>
        <w:t>FR: TPF RH.2014.2 du 21 février 2014</w:t>
      </w:r>
    </w:p>
    <w:p>
      <w:r>
        <w:t>IT: TPF RH.2014.2 del 21 febbraio 2014</w:t>
      </w:r>
    </w:p>
    <w:p>
      <w:pPr>
        <w:pStyle w:val="Heading2"/>
      </w:pPr>
      <w:r>
        <w:t>Regeste</w:t>
      </w:r>
    </w:p>
    <w:p>
      <w:r>
        <w:t>Auslieferung an die Cayman Islands. Haftentlassungsgesuch (Art. 50 Abs. 3 IRSG).</w:t>
      </w:r>
    </w:p>
    <w:p>
      <w:pPr>
        <w:pStyle w:val="Heading2"/>
      </w:pPr>
      <w:r>
        <w:t>Erwägungen</w:t>
      </w:r>
    </w:p>
    <w:p>
      <w:r>
        <w:rPr>
          <w:b/>
        </w:rPr>
        <w:t>E. 1.1</w:t>
      </w:r>
    </w:p>
    <w:p>
      <w:r>
        <w:t>Für den Auslieferungsverkehr und die Auslieferungshaft zwischen der Schweiz und den Cayman Islands ist primär das Europäische Ausliefe- rungsübereinkommen vom 13. Dezember 1957 (EAUe, SR 0.353.1) an-</w:t>
      </w:r>
    </w:p>
    <w:p>
      <w:r>
        <w:t>- 4 -</w:t>
      </w:r>
    </w:p>
    <w:p>
      <w:r>
        <w:t>wendbar (vgl. Briefwechsel vom 9./26. Januar 1996 zwischen der Schweiz und dem Vereinigten Königreich von Grossbritannien und Nordirland über die Ausdehnung des Geltungsbereiches des Europäischen Auslieferungs- übereinkommens vom 13. Dezember 1957 auf verschiedene Gebiete, für deren internationale Beziehungen das Vereinigte Königreich verantwortlich ist; SR 0.353.936.78).</w:t>
      </w:r>
    </w:p>
    <w:p>
      <w:r>
        <w:rPr>
          <w:b/>
        </w:rPr>
        <w:t>E. 1.2</w:t>
      </w:r>
    </w:p>
    <w:p>
      <w:r>
        <w:t>Soweit dieser Staatsvertrag bestimmte Fragen nicht abschliessend regelt, findet auf das Verfahren der Auslieferung und der vorläufigen Ausliefe- rungshaft ausschliesslich das Recht des ersuchten Staates Anwendung (Art. 22 EAUe), vorliegend also das Bundesgesetz vom 20. März 1981 (Rechtshilfegesetz, IRSG; SR 351.1) und die Verordnung vom 24. Febru- ar 1982 über internationale Rechtshilfe in Strafsachen (Rechtshilfeverord- nung, IRSV; SR 351.11). Das innerstaatliche Recht gelangt nach dem Günstigkeitsprinzip auch dann zur Anwendung, wenn dieses geringere An- forderungen an die Auslieferung stellt (BGE 137 IV 33 E. 2.2.2 S. 40 f.; 136 IV 82 E. 3.1; 122 II 140 E. 2 S. 142). Vorbehalten bleibt die Wahrung der Menschenrechte (BGE 135 IV 212 E. 2.3; 123 II 595 E. 7c S. 616).</w:t>
      </w:r>
    </w:p>
    <w:p>
      <w:r>
        <w:rPr>
          <w:b/>
        </w:rPr>
        <w:t>E. 2</w:t>
      </w:r>
    </w:p>
    <w:p>
      <w:r>
        <w:t>Wer sich in Auslieferungshaft befindet, kann jederzeit ein Haftentlassungs- gesuch einreichen (Art. 50 Abs. 3 Satz 2 IRSG). Das Begehren ist an das BJ zu richten, gegen dessen ablehnenden Entscheid innert zehn Tagen Beschwerde bei der Beschwerdekammer des Bundesstrafgerichts geführt werden kann (Art. 48 Abs. 2 und Art. 50 Abs. 3 IRSG; Art. 37 Abs. 2 lit. a Ziff. 1 des Bundesgesetzes über die Organisation der Strafbehörden des Bundes [StBOG; SR 173.71] i.V.m. Art. 19 Abs. 1 des Organisationsregle- ments für das Bundesstrafgericht [BStGerOR]).</w:t>
      </w:r>
    </w:p>
    <w:p>
      <w:r>
        <w:t>Das BJ verfügte die Abweisung des Haftentlassungsgesuchs am 22. Janu- ar 2014. Die Beschwerde vom 3. Februar 2014 wurde demnach rechtzeitig erhoben, weshalb darauf einzutreten ist.</w:t>
      </w:r>
    </w:p>
    <w:p>
      <w:r>
        <w:rPr>
          <w:b/>
        </w:rPr>
        <w:t>E. 3</w:t>
      </w:r>
    </w:p>
    <w:p>
      <w:r>
        <w:t>Die Beschwerdekammer ist bei ihrem Entscheid weder an die Anträge noch an die Begründungen der Parteien gebunden (Art. 25 Abs. 6 IRSG). Sie prüft die Auslieferungshaftvoraussetzungen mit freier Kognition, befasst sich jedoch nur mit Tat- und Rechtsfragen, die Streitgegenstand der Be- schwerde bilden (vgl. BGE 132 II 81 E. 1.4; 130 II 337 E. 1.4 sowie zuletzt u. a. der Entscheid des Bundesstrafgerichts RH.2012.17 vom 28. Dezem- ber 2012, m.w.H.).</w:t>
      </w:r>
    </w:p>
    <w:p>
      <w:r>
        <w:t>- 5 -</w:t>
      </w:r>
    </w:p>
    <w:p>
      <w:r>
        <w:rPr>
          <w:b/>
        </w:rPr>
        <w:t>E. 4</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RH.2012.11 vom 3. Oktober 2012, E. 2.1; RH.2012.10 vom 7. September 2012, E. 4). Offensichtlich unzulässig kann ein Ausliefe- rungsersuchen sein, wenn ohne jeden Zweifel und ohne weitere Abklärun- gen ein Ausschlussgrund vorliegt (vgl. BGE 111 IV 108 E. 3a). Im Übrigen sind Vorbringen gegen die Auslieferung als solche oder gegen die Begrün- detheit des Auslieferungsbegehrens nicht im vorliegenden Beschwerdever- fahren, sondern im eigentlichen Auslieferungsverfahren zu prüfen (vgl. LAURENT MOREILLON / MICHEL DUPUIS / MIRIAM MAZOV, La pratique judiciaire du Tribunal pénal fédéral, in Journal des Tribunaux 2009 IV 111 Nr. 190 und 2008 IV 66 Nr. 322 je m.w.H. auf die Rechtsprechung). Diese Rege- lung soll es der Schweiz ermöglichen, ihren staatsvertraglichen Ausliefe- rungspflichten nachzukommen. Die ausnahmsweise zu gewährende Haft- entlassung ist deshalb an strengere Voraussetzungen gebunden als der Verzicht auf die gewöhnliche Untersuchungshaft in einem Strafverfahren oder die Entlassung aus einer solchen (vgl. BGE 130 II 306 E. 2.2 und 2.3; 111 IV 108 E. 2).</w:t>
      </w:r>
    </w:p>
    <w:p>
      <w:r>
        <w:rPr>
          <w:b/>
        </w:rPr>
        <w:t>E. 5.1</w:t>
      </w:r>
    </w:p>
    <w:p>
      <w:r>
        <w:t>Verhaftung und Inhaftierung beeinträchtigen die Grundrechte des Betroffe- nen besonders intensiv (MÜLLER/SCHEFER, Grundrechte in der Schweiz, 4. Auflage, Bern 2008, S. 88). Aus diesem Grund gehört der gerichtliche Schutz vor ungerechtfertigter Verhaftung geschichtlich zu den ältesten Grundrechtsgarantien (sog. habeas corpus, vgl. ANTONIO PADOA SCHIOPPA, Storia del diritto in Europa, Bologna 2007, S. 378 f.).</w:t>
      </w:r>
    </w:p>
    <w:p>
      <w:r>
        <w:t>Jede Person, die von Festnahme oder Freiheitsentzug betroffen ist wegen hinreichenden Verdachts der Begehung einer Straftat, Fluchtgefahr nach Verüben einer solchen oder zwecks Verhinderung eines Delikts, muss un-</w:t>
      </w:r>
    </w:p>
    <w:p>
      <w:r>
        <w:t>- 6 -</w:t>
      </w:r>
    </w:p>
    <w:p>
      <w:r>
        <w:t>verzüglich einem Richter oder einer anderen gesetzlich zur Wahrnehmung richterlicher Aufgaben ermächtigten Person vorgeführt werden (Art. 5 Ziff. 3 i.V.m. Art. 5 Ziff. 1 lit. c EMRK). Dieser Richtervorbehalt gilt für Strafverfah- ren, nicht jedoch für die Anordnung der Auslieferungshaft (Urteile des Eu- ropäischen Gerichtshofes für Menschenrechte i.S. Quinn gegen Frankreich vom 22. März 1995, Série A, Bd. 311, Ziff. 53; i.S. Bogdanovski gegen Itali- en vom 14. Dezember 2006, Ziff. 59; TPF 2009 145, E. 2.5.2; vgl. auch Entscheid des Bundesstrafgericht RR.2008.46 vom 26. April 2008, E. 3.3). Keine entsprechende Einschränkung findet sich demgegenüber bei der richterlichen Kontrolle des Freiheitsentzuges (Art. 5 Ziff. 4 EMRK).</w:t>
      </w:r>
    </w:p>
    <w:p>
      <w:r>
        <w:t>Indem der Beschwerdeführer geltend macht, dass Art. 5 Ziff. 3 EMRK ver- letzt worden sei - er befände sich schon seit drei Monaten in Ausliefe- rungshaft, ohne dass die Zulässigkeit des Freiheitsentzuges durch ein Ge- richt überprüft worden wäre (act. 1, S. 5 und 6) -, verkennt er, dass der Richtervorbehalt von Art. 5 Ziff. 3 EMRK nur für die Untersuchungshaft im Sinne von Art. 5 Ziff. 1 lit. c EMRK, nicht jedoch auf die Anordnung der Auslieferungshaft gemäss Art. 5 Ziff. 1 lit. f EMRK gilt. Seine Rüge erweist sich somit als unbegründet.</w:t>
      </w:r>
    </w:p>
    <w:p>
      <w:r>
        <w:rPr>
          <w:b/>
        </w:rPr>
        <w:t>E. 6.1</w:t>
      </w:r>
    </w:p>
    <w:p>
      <w:r>
        <w:t>Als nächstes bringt der Beschwerdeführer vor, die Auslieferung sei offen- sichtlich unzulässig (act. 1, S. 6 und 7).</w:t>
      </w:r>
    </w:p>
    <w:p>
      <w:r>
        <w:rPr>
          <w:b/>
        </w:rPr>
        <w:t>E. 6.2</w:t>
      </w:r>
    </w:p>
    <w:p>
      <w:r>
        <w:t>Gemäss Art. 12 Ziff. 2 lit. b EAUe hat das Auslieferungsersuchen eine Dar- stellung der Handlungen, derentwegen um Auslieferung ersucht wird, zu enthalten. Zeit und Ort ihrer Begehung sowie ihre rechtliche Würdigung un- ter Bezugnahme auf die anwendbaren Gesetzesbestimmungen sind so ge- nau wie möglich anzugeben. Die Sachverhaltsdarstellung kann im Ersu- chen oder in dessen Beilagen enthalten sein (Art. 10 IRSV). Der ersuchte Staat kann vom ersuchenden Staat ergänzende Unterlagen verlangen, wenn sich die übermittelten Unterlagen für eine Entscheidung als unzurei- chend erweisen (Art. 13 EAUe). Gestützt auf Art. 13 EAUe ersuchte das BJ am 28. Januar 2014 die Behörden der Cayman Islands um ergänzende Un- terlagen, welche diese am 12. Februar 2014 einreichten (vgl. supra lit. G.). Die Argumentation des Beschwerdeführers, die offensichtliche Unzulässig- keit der Auslieferung ergebe sich im staatsvertraglich vorgesehenen obgenannten Ersuchen des Beschwerdegegners vom 28. Januar 2014, zielt ins Leere. Das Ersuchen um Ergänzung der Unterlagen indiziert ledig- lich, dass die mit dem Rechtshilfeersuchen übermittelten Unterlagen für ei- ne Entscheidung des BJ sich als nicht ausreichend erweisen, nicht jedoch,</w:t>
      </w:r>
    </w:p>
    <w:p>
      <w:r>
        <w:t>- 7 -</w:t>
      </w:r>
    </w:p>
    <w:p>
      <w:r>
        <w:t>dass die Auslieferung offensichtlich unzulässig wäre. Somit erweist sich auch diese Rüge des Beschwerdeführers als unbegründet.</w:t>
      </w:r>
    </w:p>
    <w:p>
      <w:r>
        <w:rPr>
          <w:b/>
        </w:rPr>
        <w:t>E. 7</w:t>
      </w:r>
    </w:p>
    <w:p>
      <w:r>
        <w:t>Gemäss Hafterstehungszeugnis des Universitätsspitals Zürich vom</w:t>
      </w:r>
    </w:p>
    <w:p>
      <w:r>
        <w:rPr>
          <w:b/>
        </w:rPr>
        <w:t>E. 11</w:t>
      </w:r>
    </w:p>
    <w:p>
      <w:r>
        <w:t>Zusammenfassend ergibt sich, dass vorliegend keine Gründe auszuma- chen sind, welche eine ausnahmsweise Aufhebung der Auslieferungshaft als angezeigt erscheinen lassen. Die Beschwerde erweist sich somit als gesamthaft unbegründet und ist daher abzuweisen.</w:t>
      </w:r>
    </w:p>
    <w:p>
      <w:r>
        <w:rPr>
          <w:b/>
        </w:rPr>
        <w:t>E. 12</w:t>
      </w:r>
    </w:p>
    <w:p>
      <w:r>
        <w:t>Bei diesem Ausgang des Verfahrens wird der Beschwerdeführer kosten- pflichtig (Art. 63 Abs. 1 VwVG i.V.m. Art. 39 Abs. 2 lit. b StBOG). Für die Berechnung der Gerichtsgebühren gelangt Art. 5 des Reglements des Bundesstrafgerichts vom 31. August 2010 über die Kosten, Gebühren und Entschädigungen in Bundesstrafverfahren (BStKR [SR 173.713.162] i.V.m. Art. 63 Abs. 4bis VwVG und Art. 63 Abs. 5 VwVG) zur Anwendung. Unter Berücksichtigung aller Umstände ist die Gerichtsgebühr vorliegend auf Fr. 3’000.-- festzusetzen.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