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RH.2014.18 vom 9. Dezember 2014</w:t>
      </w:r>
    </w:p>
    <w:p>
      <w:r>
        <w:t>Bundesstrafgericht, 2014-12-09, FR</w:t>
      </w:r>
    </w:p>
    <w:p>
      <w:r>
        <w:rPr>
          <w:b/>
        </w:rPr>
        <w:t xml:space="preserve">Quelle: </w:t>
      </w:r>
      <w:r>
        <w:t>https://mcp.opencaselaw.ch/entscheid/bstger_RH.2014.18</w:t>
      </w:r>
    </w:p>
    <w:p>
      <w:r>
        <w:t>FR: TPF RH.2014.18 du 9 décembre 2014</w:t>
      </w:r>
    </w:p>
    <w:p>
      <w:r>
        <w:t>IT: TPF RH.2014.18 del 9 dicembre 2014</w:t>
      </w:r>
    </w:p>
    <w:p>
      <w:pPr>
        <w:pStyle w:val="Heading2"/>
      </w:pPr>
      <w:r>
        <w:t>Regeste</w:t>
      </w:r>
    </w:p>
    <w:p>
      <w:r>
        <w:t>Extradition aux Etats-Unis. Mandat d'arrêt en vue d'extradition (art. 48 al. 2 EIMP).</w:t>
      </w:r>
    </w:p>
    <w:p>
      <w:pPr>
        <w:pStyle w:val="Heading2"/>
      </w:pPr>
      <w:r>
        <w:t>Erwägungen</w:t>
      </w:r>
    </w:p>
    <w:p>
      <w:r>
        <w:rPr>
          <w:b/>
        </w:rPr>
        <w:t>E. 1</w:t>
      </w:r>
    </w:p>
    <w:p>
      <w:r>
        <w:t>Le Traité d’extradition entre la Confédération suisse et les Etats-Unis d’Amérique du 14 novembre 1990 (TEXUS; RS 0.353.933.6) s'applique aux procédures d'extradition entre la Suisse et les Etats-Unis. La loi fédérale sur l'entraide internationale en matière pénale (EIMP; RS 351.1) et son ordonnance d’exécution (OEIMP; RS 351.11) règlent les questions qui ne sont pas régies, explicitement ou implicitement, par le TEXUS (ATF 130 II 337 consid. 1; 128 II 355 consid. 1 et la jurisprudence citée). Le droit interne s'applique en outre lorsqu'il est plus favorable à l'octroi de l’extradition (ATF 137 IV 33 consid. 2.2.2; 136 IV 82 consid. 3.1 et 122 II 140 consid. 2 et les arrêts cités). Le respect des droits fondamentaux est réservé (ATF 135 IV 212 consid. 2.3 et 123 II 595 consid. 7c).</w:t>
      </w:r>
    </w:p>
    <w:p>
      <w:r>
        <w:rPr>
          <w:b/>
        </w:rPr>
        <w:t>E. 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et 37 al. 2 let. a ch. 1 de la loi fédérale sur l'organisation des autorités pénales de la Confédération [LOAP; RS 173.71]). Le recourant a qualité pour agir (art. 48 al. 2 et 80h let. b EIMP) et le recours a été interjeté en temps utile, si bien qu'il y a lieu d'entrer en matière.</w:t>
      </w:r>
    </w:p>
    <w:p>
      <w:r>
        <w:rPr>
          <w:b/>
        </w:rPr>
        <w:t>E. 3.1</w:t>
      </w:r>
    </w:p>
    <w:p>
      <w:r>
        <w:t>Le litige porte sur la légitimité du refus, prononcé le 7 novembre 2014 par la partie adverse, de lever la détention extraditionnelle du recourant au profit de mesures de substitution.</w:t>
      </w:r>
    </w:p>
    <w:p>
      <w:r>
        <w:rPr>
          <w:b/>
        </w:rPr>
        <w:t>E. 3.2</w:t>
      </w:r>
    </w:p>
    <w:p>
      <w:r>
        <w:t>Ainsi que le Tribunal fédéral l'a déclaré à de nombreuses reprises, la détention de l'accusé constitue la règle dans le cadre d'une procédure</w:t>
      </w:r>
    </w:p>
    <w:p>
      <w:r>
        <w:t>- 6 -</w:t>
      </w:r>
    </w:p>
    <w:p>
      <w:r>
        <w:t>d'extradition (ATF 130 II 306 consid. 2.2; 117 IV 359 consid. 2a; 111 IV 108 consid. 2; 109 IV 159 consid. 1; 109 Ib 58 consid. 2).</w:t>
      </w:r>
    </w:p>
    <w:p>
      <w:r>
        <w:rPr>
          <w:b/>
        </w:rPr>
        <w:t>E. 3.2.1</w:t>
      </w:r>
    </w:p>
    <w:p>
      <w:r>
        <w:t>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3.2.2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w:t>
      </w:r>
    </w:p>
    <w:p>
      <w:r>
        <w:rPr>
          <w:b/>
        </w:rPr>
        <w:t>E. 3.3</w:t>
      </w:r>
    </w:p>
    <w:p>
      <w:r>
        <w:t>Selon la partie adverse, le dossier ne contient aucun élément laissant à penser que l'état de santé du recourant serait incompatible avec la détention. Par ailleurs, le versement de la caution proposée ne permettrait pas d'écarter tout risque de fuite et le recourant n'a pas établi l'absence de risques de collusion, étant précisé que l'argumentation développée à ce sujet dans la demande du 3 novembre 2014, en tant qu'elle se fonde exclusivement sur des principes juridiques issus du droit américain, est dénuée de pertinence dans le cadre de la présente procédure, laquelle est régie intégralement par le droit suisse.</w:t>
      </w:r>
    </w:p>
    <w:p>
      <w:r>
        <w:rPr>
          <w:b/>
        </w:rPr>
        <w:t>E. 3.4</w:t>
      </w:r>
    </w:p>
    <w:p>
      <w:r>
        <w:t>Le recourant dénonce une violation de l'art. 47 EIMP. Il soutient que les troubles cardiaques retenus par les médecins du Service de médecine et de psychiatrie pénitentiaires de la prison de Champ-Dollon, ainsi que par des cardiologues de renom qui le suivent depuis plusieurs années, sont graves et constituent un motif d'interruption de l'incarcération au profit</w:t>
      </w:r>
    </w:p>
    <w:p>
      <w:r>
        <w:t>- 7 -</w:t>
      </w:r>
    </w:p>
    <w:p>
      <w:r>
        <w:t>d'autres mesures. Cela vaudrait d'autant que les conditions de détention dans l'établissement pénitentiaire en question sont difficiles. En outre, plus aucune collusion ne serait possible compte tenu de l'avancement de la procédure menée contre lui aux Etats-Unis. Quant au risque de fuite en cas d'élargissement, il serait nul au regard des mesures de substitution proposées.</w:t>
      </w:r>
    </w:p>
    <w:p>
      <w:r>
        <w:rPr>
          <w:b/>
        </w:rPr>
        <w:t>E. 4</w:t>
      </w:r>
    </w:p>
    <w:p>
      <w:r>
        <w:t>Ainsi que cela ressort des certificats établis les 5 et 25 septembre 2014 par les médecins du Service de médecine et de psychiatrie pénitentiaires de la prison de Champ-Dollon (act. 1.13 et 1.20), le recourant souffre de cardiomyopathie d'origine non déterminée avec des extrasystoles ventriculaires.</w:t>
      </w:r>
    </w:p>
    <w:p>
      <w:r>
        <w:t>Les conclusions qu'en tire l'intéressé, à savoir que cette affection "rend [son] cas […] dangereux car l'évolution de son état de santé est difficile, voire impossible à prévoir et la «régularité de l'irrégularité» de sa fréquence cardiaque […] est […] un sujet de grande préoccupation" (act. 1, p. 14), d'autant que ce trouble est exacerbé par le stress, la fumée du tabac et la carence en sommeil qu'il subit à la prison de Champ-Dollon, ne sont en revanche corroborées par aucun élément objectif contenu dans les documents précités ou les autres pièces médicales produites.</w:t>
      </w:r>
    </w:p>
    <w:p>
      <w:r>
        <w:t>En effet, la lecture de ces dernières ne révèle rien d'inquiétant quant à l'état de santé du recourant. Il ressort du certificat du docteur E., de l'hôpital F. de Dubai, que seule l'insistance de la famille de l'intéressé a poussé ce médecin à ordonner la réalisation d'investigations complémentaires, à l'issue notamment d'examens écho-cardiographiques considérés comme concluants et n'ayant rien révélé d'anormal, ainsi que d'un électrocardiogramme effectué alors que l'intéressé courait sur un tapis roulant et ayant mis en évidence de bonnes capacités fonctionnelles compte tenu de l'âge du patient (certificat du 15 août 2000; act. 1.27). En outre, un scanner effectué en mai 2000 montre l'absence de toute calcification dans les artères coronariennes (rapport du docteur G., du Centre médical H. de Dubai, du 16 mai 2001; act. 1.29) et le docteur I., cardiologue auprès de l'hôpital J. de Dubai, a relevé dans son certificat du 27 juin 2010 que le recourant n'avait jamais éprouvé d'épisodes de véritables palpitations (act. 1.30). L'intéressé a certes été hospitalisé à deux reprises à l'hôpital K. de Moscou, en octobre 2010 et juillet 2012. La première fois, son état de santé a cependant été jugé satisfaisant à l'admission – survenue dans un contexte de dépression et d'insomnie – et des plaintes afférentes à des troubles intermittents cardiaques et des</w:t>
      </w:r>
    </w:p>
    <w:p>
      <w:r>
        <w:t>- 8 -</w:t>
      </w:r>
    </w:p>
    <w:p>
      <w:r>
        <w:t>sensations de lourdeur cardiaque ont été formulées uniquement en lien avec des efforts physiques importants (rapports de la doctoresse L. des 6 et 30 octobre 2010; act. 6.1 et 6.2). Lors du second séjour hospitalier du recourant, lié à des insomnies, ainsi qu'à des douleurs dorsales ayant nécessité plusieurs séances de chiropractie, il a été relevé que l'état de l'intéressé était satisfaisant en dépit d'une surcharge professionnelle, que celui-ci ne se plaignait pas de douleurs cardiaques et qu'il n'avait pas ressenti d'essoufflement à l'effort physique (rapport de la doctoresse M. du 20 juillet 2012; act. 6.3). A noter que la Cour de céans n'est pas en mesure de déduire quoi que ce soit de l'annexe n° 26 au recours (act. 1.26), document désigné comme un "rapport médical du Dr. N. Clinique O. en Ukraine", rédigé en langue russe et non traduit, lequel semble constitué presque exclusivement de résultats de divers examens médicaux.</w:t>
      </w:r>
    </w:p>
    <w:p>
      <w:r>
        <w:t>En tout état de cause, l'atteinte à la santé que présente le recourant ne nécessite pas de traitement médicamenteux, ce que celui-ci reconnaît du reste expressément. Quant à l'assertion selon laquelle ses troubles cardiaques commandent "une hygiène de vie saine et relaxante, ainsi que des exercices réguliers" (act. 1 p. 14), elle n'est appuyée par aucun document médical figurant au dossier. De même, on recherche en vain des pièces étayant ses propos lorsqu'il affirme être l'objet d'un suivi régulier – quasiment quotidien –, notamment par sa mère, qui aurait "une formation en cardiologie" (ibidem), étant précisé que le certificat succinct rédigé le 25 août 2014 par le docteur P. (dont on ignore la spécialisation), du Centre médical Q. de Dubai (act. 1.12), fait uniquement état d'une "supervision médicale" depuis 2005, sans fournir aucune précision.</w:t>
      </w:r>
    </w:p>
    <w:p>
      <w:r>
        <w:t>On relèvera encore que les diagnostics posés en 2001 par le docteur R., consultant en cardiologie auprès des hôpitaux S. et T., de Londres (certificat du 8 avril 2001; act. 1.28), sont superposables à ceux retenus le</w:t>
      </w:r>
    </w:p>
    <w:p>
      <w:r>
        <w:rPr>
          <w:b/>
        </w:rPr>
        <w:t>E. 5</w:t>
      </w:r>
    </w:p>
    <w:p>
      <w:r>
        <w:t>Reste à examiner s'il apparaît au regard de l'ensemble des circonstances que le recourant ne se soustrairait pas à l'extradition en cas d'élargissement.</w:t>
      </w:r>
    </w:p>
    <w:p>
      <w:r>
        <w:rPr>
          <w:b/>
        </w:rPr>
        <w:t>E. 5.1</w:t>
      </w:r>
    </w:p>
    <w:p>
      <w:r>
        <w:t>Selon les renseignements fournis par le DOJ, le recourant est passible aux Etats-Unis d'une peine de 20 ans de prison (act. 1.4). Par ailleurs, il n'a en Suisse ni famille, ni travail, ni résidence. Dans ces conditions, le risque de fuite doit être considéré comme élevé, d'autant que l'intéressé est encore relativement jeune (sur le rôle de l'âge dans le présent contexte, v. ATF 130 II 306 consid. 2.5 ainsi que l'arrêt du Tribunal pénal fédéral RR.2009.329 du 24 novembre 2009, consid. 5.3 et la jurisprudence citée).</w:t>
      </w:r>
    </w:p>
    <w:p>
      <w:r>
        <w:rPr>
          <w:b/>
        </w:rPr>
        <w:t>E. 5.2</w:t>
      </w:r>
    </w:p>
    <w:p>
      <w:r>
        <w:t>Le recourant prétend que le versement d'une caution de CHF 1'000'000.--, complété par la remise d'une cédule hypothécaire au porteur sur un bien immobilier sis à Z., suffirait à écarter tout risque de fuite. Sa mère aurait en effet accepté de fournir de telles garanties – qu'il ne serait pas en mesure d'offrir lui-même, faute de disposer des éléments de fortune nécessaires – et jamais il ne porterait préjudice à celle-ci, qui subvient à ses besoins ainsi qu'à ceux de sa famille.</w:t>
      </w:r>
    </w:p>
    <w:p>
      <w:r>
        <w:t>Cette argumentation ne résiste pas à l'examen. D'une part, des incertitudes entourent la situation patrimoniale du recourant. Ainsi, l'intéressé affirme être à la tête de plusieurs sociétés qu'il a lui-même créées mais ne tente nullement de prouver son assertion selon laquelle celles-ci n'ont qu'une faible activité et génèrent des bénéfices insignifiants; de même, il reconnaît être titulaire de plusieurs relations bancaires en Suisse et à l'étranger mais ne cherche pas à établir que celles-ci présentent, ainsi qu'il le soutient (act. 1.12, p. 4), un solde nul ou négatif et semble être propriétaire de biens immobiliers à Dubai d'une valeur supérieure à CHF 4 mios (ibidem). D'autre part, on ignore tout des revenus et de la fortune de sa mère. Dans ces conditions, il est impossible d'apprécier la mesure dans laquelle celle- ci, respectivement le recourant, se trouveraient affectés par la perte du</w:t>
      </w:r>
    </w:p>
    <w:p>
      <w:r>
        <w:t>- 10 -</w:t>
      </w:r>
    </w:p>
    <w:p>
      <w:r>
        <w:t>montant précité ainsi que du bien immobilier en question (dont la valeur alléguée de CHF 720'000.-- ne ressort d'aucun document figurant au dossier). Il est de surcroît permis de penser, au regard des indications fournies par le DOJ, que la famille du recourant dispose de moyens non négligeables.</w:t>
      </w:r>
    </w:p>
    <w:p>
      <w:r>
        <w:rPr>
          <w:b/>
        </w:rPr>
        <w:t>E. 5.3</w:t>
      </w:r>
    </w:p>
    <w:p>
      <w:r>
        <w:t>Par ailleurs, l'équipement du recourant d’une surveillance électronique ne parviendrait pas, quoi qu'il en dise, à réduire notablement le risque de fuite. Une telle mesure – complémentaire au dépôt d’une caution suffisante – ne permet effectivement pas à elle seule d'éviter la fuite de la personne munie de ce dispositif mais uniquement de la constater (v. arrêts du Tribunal pénal fédéral RR.2011.133 du 29 juin 2011, consid. 3.4.2 et RR.2009.321 du 11 novembre 2009, consid. 3.3). Le jeune âge du recourant, qui est habitué par son activité professionnelle aux voyages à travers le monde, et la proximité de la frontière rendent du reste cette mesure inefficace en l'occurrence, ce qui vaut à plus forte raison pour la présentation régulière de l'intéressé à un poste de police. Le dépôt des papiers d’identité n’est pas non plus de nature à atténuer sensiblement le risque de fuite, les contrôles aux frontières suisses n'étant pas systématiques. Enfin, la Cour de céans ne voit pas, compte tenu de l'ensemble des considérations qui précèdent, qu'il existerait en l'occurrence d'autres mesures de substitution propres à réduire dans une mesure suffisante le risque de fuite.</w:t>
      </w:r>
    </w:p>
    <w:p>
      <w:r>
        <w:rPr>
          <w:b/>
        </w:rPr>
        <w:t>E. 6</w:t>
      </w:r>
    </w:p>
    <w:p>
      <w:r>
        <w:t>Dès lors que le risque de fuite apparaît suffisamment important pour exclure l’élargissement, il n’y a pas lieu d’examiner si la libération du recourant entraverait l’instruction. Ces deux conditions sont en effet cumulatives (art. 47 al. 1 let. a EIMP; v. ATF 136 IV 20, consid. 3.6 et la jurisprudence citée, ainsi que 109 Ib 58 consid. 2), de sorte que la non réalisation de l’une annihile automatiquement la possibilité d’élargissement.</w:t>
      </w:r>
    </w:p>
    <w:p>
      <w:r>
        <w:rPr>
          <w:b/>
        </w:rPr>
        <w:t>E. 7</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3'000.-- (art. 73 al. 2 LOAP, art. 8 al. 3 du règlement du Tribunal pénal fédéral sur les frais, émoluments, dépens, et indemnités de la procédure pénale fédérale [RFPPF; RS 173.713.162] et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