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RH.2014.14 vom 9. Oktober 2014</w:t>
      </w:r>
    </w:p>
    <w:p>
      <w:r>
        <w:t>Bundesstrafgericht, 2014-10-09, DE</w:t>
      </w:r>
    </w:p>
    <w:p>
      <w:r>
        <w:rPr>
          <w:b/>
        </w:rPr>
        <w:t xml:space="preserve">Quelle: </w:t>
      </w:r>
      <w:r>
        <w:t>https://mcp.opencaselaw.ch/entscheid/bstger_RH.2014.14</w:t>
      </w:r>
    </w:p>
    <w:p>
      <w:r>
        <w:t>FR: TPF RH.2014.14 du 9 octobre 2014</w:t>
      </w:r>
    </w:p>
    <w:p>
      <w:r>
        <w:t>IT: TPF RH.2014.14 del 9 ottobre 2014</w:t>
      </w:r>
    </w:p>
    <w:p>
      <w:pPr>
        <w:pStyle w:val="Heading2"/>
      </w:pPr>
      <w:r>
        <w:t>Regeste</w:t>
      </w:r>
    </w:p>
    <w:p>
      <w:r>
        <w:t>Auslieferung an Bosnien und Herzegowina. Auslieferungshaftbefehl (Art. 48 Abs. 2 IRSG).</w:t>
      </w:r>
    </w:p>
    <w:p>
      <w:pPr>
        <w:pStyle w:val="Heading2"/>
      </w:pPr>
      <w:r>
        <w:t>Erwägungen</w:t>
      </w:r>
    </w:p>
    <w:p>
      <w:r>
        <w:rPr>
          <w:b/>
        </w:rPr>
        <w:t>E. 1.1</w:t>
      </w:r>
    </w:p>
    <w:p>
      <w:r>
        <w:t>Für den Auslieferungsverkehr und die Auslieferungshaft zwischen der Schweiz und Bosnien und Herzegowina sind primär das Europäische Auslieferungsübereinkommen vom 13. Dezember 1957 (EAUe, SR 0.353.1) sowie das zu diesem Übereinkommen am 15. Oktober 1975 ergangene erste Zusatzprotokoll (1. ZP, SR 0.353.11) und das am 17. März 1978 ergangene zweite Zusatzprotokoll (2. ZP, SR 0.353.12) massgebend.</w:t>
      </w:r>
    </w:p>
    <w:p>
      <w:r>
        <w:rPr>
          <w:b/>
        </w:rPr>
        <w:t>E. 1.2</w:t>
      </w:r>
    </w:p>
    <w:p>
      <w:r>
        <w:t>Soweit das Übereinkommen und die beiden Zusatzprotokolle nichts anderes bestimmen,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w:t>
      </w:r>
    </w:p>
    <w:p>
      <w:r>
        <w:t>- 4 -</w:t>
      </w:r>
    </w:p>
    <w:p>
      <w:r>
        <w:t>dem Günstigkeitsprinzip auch dann zur Anwendung, wenn dieses geringere Anforderungen an die Auslieferung stellt (vgl. BGE 137 IV 33 E. 2.2.2; 136 IV 82 E. 3.1; 129 II 462 E. 1.1; 122 II 140 E. 2). Vorbehalten ist die Wahrung der Menschenrechte (BGE 135 IV 212 E. 2.3; 123 II 595 E. 7c). Gemäss Art. 48 Abs. 2 IRSG gelten für das vorliegende Beschwerdeverfahren Art. 379–397 StPO sinngemäss.</w:t>
      </w:r>
    </w:p>
    <w:p>
      <w:r>
        <w:rPr>
          <w:b/>
        </w:rPr>
        <w:t>E. 2.1</w:t>
      </w:r>
    </w:p>
    <w:p>
      <w:r>
        <w:t>Gegen den Auslieferungshaftbefehl des BJ kann der Verfolgte innert zehn Tagen ab der schriftlichen Eröffnung Beschwerde bei der Beschwerdekammer des Bundesstrafgerichts führen (Art. 48 Abs. 2 IRSG i.V.m. Art. 47 IRSG; Art. 19 Abs. 1 des Organisationsreglements für das Bundesstrafgericht vom 31. August 2010 [BStGerOR; SR 173.713.161] i.V.m. Art. 37 Abs. 2 lit. a des Bundesgesetzes vom 19. März 2010 über die Organisation der Strafbehörden des Bundes [StBOG; SR 173.71]).</w:t>
      </w:r>
    </w:p>
    <w:p>
      <w:r>
        <w:rPr>
          <w:b/>
        </w:rPr>
        <w:t>E. 2.2</w:t>
      </w:r>
    </w:p>
    <w:p>
      <w:r>
        <w:t>Der angefochtene Auslieferungshaftbefehl wurde dem Beschwerdeführer am 17. September 2014 eröffnet. Seine Beschwerde vom 29. Septem- ber 2014 ist damit fristgerecht. Die übrigen Eintretensvoraussetzungen geben keinen Anlass zu weiteren Bemerkungen. Auf die Beschwerde ist demnach einzutreten.</w:t>
      </w:r>
    </w:p>
    <w:p>
      <w:r>
        <w:rPr>
          <w:b/>
        </w:rPr>
        <w:t>E. 3</w:t>
      </w:r>
    </w:p>
    <w:p>
      <w:r>
        <w:t>Die Verhaftung des Beschuldigten während des ganzen Auslieferungs- verfahrens bildet die Regel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 Offensichtlich unzulässig kann ein Auslieferungsersuchen sein, wenn ohne jeden Zweifel und ohne weitere Abklärungen ein Ausschlussgrund vorliegt (vgl. BGE 111 IV 108 E. 3a). Im Übrigen sind Vorbringen gegen die Auslieferung als</w:t>
      </w:r>
    </w:p>
    <w:p>
      <w:r>
        <w:t>- 5 -</w:t>
      </w:r>
    </w:p>
    <w:p>
      <w:r>
        <w:t>solche oder gegen die Begründetheit des Auslieferungsbegehrens nicht im vorliegenden Beschwerdeverfahren, sondern im eigentlichen Aus- lieferungsverfahren zu prüfen (vgl. LAURENT MOREILLON / MICHEL DUPUIS / MIRIAM MAZOV,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w:t>
      </w:r>
    </w:p>
    <w:p>
      <w:r>
        <w:rPr>
          <w:b/>
        </w:rPr>
        <w:t>E. 4.1</w:t>
      </w:r>
    </w:p>
    <w:p>
      <w:r>
        <w:t>Der Beschwerdeführer wendet gegen den Auslieferungshaftbefehl ein, er habe die ihm vorgeworfene Tat nicht begangen. Zur angeblichen Tatzeit habe er keine Uniform getragen und er sei auch nicht bewaffnet gewesen. Er sei in Bezug auf den ihm vorgeworfenen Sachverhalt höchstens als Zeuge zu qualifizieren. Entsprechend würde auch kein dringender Tatverdacht bestehen (act. 1, Ziff. 1.3 und 1.5).</w:t>
      </w:r>
    </w:p>
    <w:p>
      <w:r>
        <w:rPr>
          <w:b/>
        </w:rPr>
        <w:t>E. 4.2</w:t>
      </w:r>
    </w:p>
    <w:p>
      <w:r>
        <w:t>Diese Bestreitung des Sachverhalts vermag keinen Haftentlassungsgrund zu begründen (s. supra Ziff. 3). Eine Aufhebung des Auslieferungs- haftbefehls und eine Haftentlassung rechtfertigen sich in diesem Zusammenhang lediglich dann, wenn der Verfolgte den sogenannten Alibibeweis erbringt. Einen solchen hat der Beschwerdeführer nicht erbracht. Der Einwand des Beschwerdeführers erweist sich somit als unbegründet.</w:t>
      </w:r>
    </w:p>
    <w:p>
      <w:r>
        <w:rPr>
          <w:b/>
        </w:rPr>
        <w:t>E. 4.3</w:t>
      </w:r>
    </w:p>
    <w:p>
      <w:r>
        <w:t>Weiter moniert der Beschwerdeführer die rechtliche Qualifikation des ihm vorgeworfenen Sachverhalts als Kriegsverbrechen. Der ihm vorgeworfene Sachverhalt sei als allgemeines Tötungsdelikt einzustufen, für welches die Verjährung bereits eingetreten sei. Weiter bestünden ernsthafte Zweifel, dass ihn ein faires Verfahren in Bosnien erwarte. Die Auslieferung sei somit offensichtlich unzulässig (act.1 Ziff. 1.5 und act. 4).</w:t>
      </w:r>
    </w:p>
    <w:p>
      <w:r>
        <w:rPr>
          <w:b/>
        </w:rPr>
        <w:t>E. 4.4</w:t>
      </w:r>
    </w:p>
    <w:p>
      <w:r>
        <w:t>Mit dieser Argumentation verkennt der Beschwerdeführer, dass Vorbringen gegen die Auslieferung als solche oder gegen die Begründetheit des Auslieferungsbegehrens im eigentlichen Auslieferungsverfahren zu prüfen sind (s. supra Ziff. 3). Seine Vorbringen allein lassen die Auslieferung jedenfalls nicht als offensichtlich unzulässig im Sinne von Art. 51 Abs. 1 IRSG erscheinen.</w:t>
      </w:r>
    </w:p>
    <w:p>
      <w:r>
        <w:t>- 6 -</w:t>
      </w:r>
    </w:p>
    <w:p>
      <w:r>
        <w:rPr>
          <w:b/>
        </w:rPr>
        <w:t>E. 4.5</w:t>
      </w:r>
    </w:p>
    <w:p>
      <w:r>
        <w:t>Der Beschwerdeführer macht weiter geltend, es bestehe keine Fluchtgefahr. Er sei 50 Jahre alt und lebe seit dem Jahre 1993 in der Schweiz, wo sein Lebensmittelpunkt sei und wo er über eine Niederlassungsbewilligung verfüge. Er betreibe als Selbstständiger eine Metzgerei in Z.. Er sei verheiratet und habe drei Kinder, welche allesamt über das Bürgerrecht verfügten (act. 1 Ziff. 4).</w:t>
      </w:r>
    </w:p>
    <w:p>
      <w:r>
        <w:rPr>
          <w:b/>
        </w:rPr>
        <w:t>E. 4.6</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Gewicht bei (vgl. BGE 130 II 306 E. 2 S. 310 ff. m.w.H.; TPF 2008 61 E. 7; Entscheide des Bundesstrafgerichts BH.2005.45 vom 20. Dezember 2005, E. 2.2.2; BH.2005.8 vom 7. April 2005, E. 2.3; RR.2007.72 vom 29. Mai 2007, E. 4.2 und 4.3; RR.2007.174 vom 27. November 2007, E. 5.2; RR.2008.214 vom 16. September 2008, E. 3.2). Bei drohenden, hohen Freiheitsstrafen ist eine Fluchtgefahr gemäss der Rechtsprechung in der Regel trotz Niederlassungsbewilligung und familiären Bindungen in der Schweiz gegeben. So wurde beispielsweise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Bundesstrafgerichts BH.2006.4 vom 21. März 2006, E. 2.2.1).</w:t>
      </w:r>
    </w:p>
    <w:p>
      <w:r>
        <w:rPr>
          <w:b/>
        </w:rPr>
        <w:t>E. 4.7</w:t>
      </w:r>
    </w:p>
    <w:p>
      <w:r>
        <w:t>Der Haftbefehl gegen den Beschwerdeführer wurde wegen Kriegsverbrechen gegen die Zivilbevölkerung (Art. 142 des Strafgesetzes</w:t>
      </w:r>
    </w:p>
    <w:p>
      <w:r>
        <w:t>- 7 -</w:t>
      </w:r>
    </w:p>
    <w:p>
      <w:r>
        <w:t>der Sozialistischen Föderativen Republik Jugoslawien) ausgestellt. Der Strafrahmen dieser Strafnorm beträgt 5 bis 20 Jahre Freiheitsstrafe (act. 3.1, -8fü-). Vor dem Hintergrund dieses Umstandes und angesichts der bezüglich der Annahme von Fluchtgefahr strengen Rechtsprechung kann vorliegend nicht angenommen werden, dass der Beschwerdeführer sich der Auslieferung voraussichtlich nicht entziehen werde. Der vorhandenen Fluchtgefahr kann auch mit den vom Beschwerdeführer vorgeschlagenen Ersatzmassnahmen (siehe act. 1 Ziff. 2.1 ff.) nicht wirksam entgegnet werden. Die Beschwerde erweist sich auch in diesem Punkt als unbegründet.</w:t>
      </w:r>
    </w:p>
    <w:p>
      <w:r>
        <w:rPr>
          <w:b/>
        </w:rPr>
        <w:t>E. 5</w:t>
      </w:r>
    </w:p>
    <w:p>
      <w:r>
        <w:t>Aus dem Gesagten ergibt sich, dass die Beschwerde abzuweisen ist.</w:t>
      </w:r>
    </w:p>
    <w:p>
      <w:r>
        <w:rPr>
          <w:b/>
        </w:rPr>
        <w:t>E. 6</w:t>
      </w:r>
    </w:p>
    <w:p>
      <w:r>
        <w:t>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