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RH.2013.9 vom 6. November 2013</w:t>
      </w:r>
    </w:p>
    <w:p>
      <w:r>
        <w:t>Bundesstrafgericht, 2013-11-06, IT</w:t>
      </w:r>
    </w:p>
    <w:p>
      <w:r>
        <w:rPr>
          <w:b/>
        </w:rPr>
        <w:t xml:space="preserve">Quelle: </w:t>
      </w:r>
      <w:r>
        <w:t>https://mcp.opencaselaw.ch/entscheid/bstger_RH.2013.9</w:t>
      </w:r>
    </w:p>
    <w:p>
      <w:r>
        <w:t>FR: TPF RH.2013.9 du 6 novembre 2013</w:t>
      </w:r>
    </w:p>
    <w:p>
      <w:r>
        <w:t>IT: TPF RH.2013.9 del 6 novembre 2013</w:t>
      </w:r>
    </w:p>
    <w:p>
      <w:pPr>
        <w:pStyle w:val="Heading2"/>
      </w:pPr>
      <w:r>
        <w:t>Regeste</w:t>
      </w:r>
    </w:p>
    <w:p>
      <w:r>
        <w:t>Estradizione all'Italia. Ordine di arresto in vista di estradizione (art. 48 cpv. 2 AIMP).</w:t>
      </w:r>
    </w:p>
    <w:p>
      <w:pPr>
        <w:pStyle w:val="Heading2"/>
      </w:pPr>
      <w:r>
        <w:t>Erwägungen</w:t>
      </w:r>
    </w:p>
    <w:p>
      <w:r>
        <w:rPr>
          <w:b/>
        </w:rPr>
        <w:t>E. 1</w:t>
      </w:r>
    </w:p>
    <w:p>
      <w:r>
        <w:t>In virtù degli art. 37 cpv. 2 lett. a n. 1 della legge federale sull'organizza- zione delle autorità penali della Confederazione (LOAP; RS 173.71), in re- lazione con l'art. 48 cpv. 2 della legge federale sull'assistenza internazio- nale in materia penale del 20 marzo 1981 (AIMP; RS 351.1), e dell'art. 19 cpv. 1 del regolamento sull'organizzazione del Tribunale penale federale (ROTPF; RS 173.713.161), la Corte dei reclami penali è competente per statuire sui reclami contro gli ordini di arresto in vista d'estradizione. Inter- posto entro dieci giorni dalla notificazione scritta dell'ordine di arresto (v. art. 48 cpv. 2 AIMP), il gravame è tempestivo. La legittimazione ricorsuale dell'estradando è pacifica. Il gravame è di conseguenza ricevibile in ordi- ne.</w:t>
      </w:r>
    </w:p>
    <w:p>
      <w:r>
        <w:rPr>
          <w:b/>
        </w:rPr>
        <w:t>E. 1.1</w:t>
      </w:r>
    </w:p>
    <w:p>
      <w:r>
        <w:t>L'estradizione fra la Repubblica italiana e la Confederazione Svizzera è anzitutto retta dalla Convenzione europea d'estradizione del 13 dicembre 1957 (CEEstr; RS 0.353.1), entrata in vigore il 4 novembre 1963 per la Repubblica italiana e il 20 marzo 1967 per il nostro Paese, dal Secondo Protocollo addizionale alla CEEstr del 17 marzo 1978, entrato in vigore per la Repubblica italiana il 23 aprile 1985 e per la Svizzera il 9 giugno 1985, nonché, a partire dal 12 dicembre 2008 (Gazzetta ufficiale dell’Unione europea, L 327/15-17, del 5 dicembre 2008), dagli art. 59 e segg. dalla Convenzione di applicazione dell'Accordo di Schengen del 14 giugno 1985 (CAS).</w:t>
      </w:r>
    </w:p>
    <w:p>
      <w:r>
        <w:rPr>
          <w:b/>
        </w:rPr>
        <w:t>E. 1.2</w:t>
      </w:r>
    </w:p>
    <w:p>
      <w:r>
        <w:t>Alle questioni che il prevalente diritto internazionale contenuto in detti trat- tati non regola espressamente o implicitamente, come pure quando il dirit- to nazionale sia più favorevole all'estradizione rispetto a quello conven- zionale (cosiddetto principio di favore), si applica l'AIMP, unitamente alla relativa ordinanza (OAIMP; RS 351.11; v. art. 1 cpv. 1 AIMP; DTF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t>- 4 -</w:t>
      </w:r>
    </w:p>
    <w:p>
      <w:r>
        <w:rPr>
          <w:b/>
        </w:rPr>
        <w:t>E. 2.1</w:t>
      </w:r>
    </w:p>
    <w:p>
      <w:r>
        <w:t>Secondo l'art. 16 n. 1 CEEstr, in caso d'urgenza, le autorità competenti del- la Parte richiedente potranno domandare l'arresto provvisorio dell'individuo ricercato;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 dizione (DTF 130 II 306 consid. 2.3; 117 IV 359 consid. 1a e b; 111 IV 108 consid. 3; LAURENT MOREILLON, Entraide internationale en matière pénale, Basilea/Ginevra/Monaco 2004, n. 19 ad art. 47 AIMP). Le censure relative a pretese irregolarità formali o sostanziali della domanda di estradizione, come pure alla sua fondatezza, devono essere fatte valere esclusivamente nell'ambito della procedura di estradizione vera e propria (DTF 130 II 306 consid. 2.3; 119 Ib 193 consid. 1c), per la quale è competente l'UFG in pri- ma istanza e, in sede di ricorso, dapprima il Tribunale penale federale ed in seguito, in ultima istanza e alle restrittive condizioni poste dall'art. 84 LTF, il Tribunale federale (v. DTF 133 IV 125, 131, 132, 134). Per costante giuri- sprudenza, durante tutta la procedura di estradizione la carcerazione della persona perseguita costituisce la regola mentre la scarcerazione rimane l’eccezione (DTF 130 II 306 consid. 2.2; 117 IV 359 consid. 2a; 111 IV 108 consid. 2; 109 IV 159; 109 Ib 58 consid. 2, 223 consid. 2c; ROBERT ZIMMERMANN, La coopération judiciaire internationale en matière pénale, 3a ediz., Berna 2009, n. 348 pag. 324 e seg. nonché n. 350 pag. 326 e seg.; STEFAN HEIMGARTNER, Auslieferungsrecht, tesi Zurigo 2002, pag. 57). L’ordine di arresto in vista di estradizione può tuttavia essere annullato, ri- 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(art. 50 cpv. 1 AIMP) o ancora se l’estradizione appare manifestamente inammissibile (art. 51 cpv. 1 AIMP). La sussistenza dei presupposti che giustificano l’annullamento dell’ordine di arresto, rispettivamente la scarcerazione, deve essere valutata secondo criteri rigorosi, tali da non rendere illusorio l’impegno assunto dalla Svizzera in virtù dell'art. 1 CEEstr di consegnare – ove la domanda di estradizione sia accolta e cresciuta in giudicato – le per- sone perseguite dallo Stato che ne ha fatto la richiesta (v. JdT 2012 IV 5 n. 142). In questo senso, la liberazione provvisoria dalla carcerazione ai fini estradizionali soggiace a condizioni più restrittive di quelle applicabili in ma-</w:t>
      </w:r>
    </w:p>
    <w:p>
      <w:r>
        <w:t>- 5 -</w:t>
      </w:r>
    </w:p>
    <w:p>
      <w:r>
        <w:t>teria di carcere preventivo (DTF 130 II 306 consid. 2.2; 111 IV 108 con- sid. 2 e 3; 109 Ib 223 consid. 2c).</w:t>
      </w:r>
    </w:p>
    <w:p>
      <w:r>
        <w:rPr>
          <w:b/>
        </w:rPr>
        <w:t>E. 2.2</w:t>
      </w:r>
    </w:p>
    <w:p>
      <w:r>
        <w:t>La CEEstr fornisce in materia di arresto provvisorio solo un quadro norma- tivo generale. Essa si limita a consacrare il diritto della Parte richiedente di domandarlo e a sancire l'obbligo della Parte richiesta di decidere su tale domanda, avvertendo la Parte richiedente dell'esito (art. 16 n. 1 e 3). Appli- cabile è esclusivamente il diritto della Parte richiesta (art. 16 n. 1 e art. 22). Dopo aver stabilito i termini trascorsi i quali l'arresto provvisorio potrà e, ri- spettivamente, dovrà cessare se la domanda d'estradizione non è presen- tata col prescritto corredo (art. 16 n. 4, prima frase), la Convenzione preci- sa (ibidem, seconda frase) che, tuttavia, la liberazione provvisoria è sempre possibile "in quanto la Parte richiesta prenda tutte le misure da essa ritenu- te necessarie per evitare la fuga dell'individuo richiesto".</w:t>
      </w:r>
    </w:p>
    <w:p>
      <w:r>
        <w:rPr>
          <w:b/>
        </w:rPr>
        <w:t>E. 3</w:t>
      </w:r>
    </w:p>
    <w:p>
      <w:r>
        <w:t>maggio 1990, consid. 4b).</w:t>
      </w:r>
    </w:p>
    <w:p>
      <w:r>
        <w:rPr>
          <w:b/>
        </w:rPr>
        <w:t>E. 3.1</w:t>
      </w:r>
    </w:p>
    <w:p>
      <w:r>
        <w:t>Secondo l'art. 53 AIMP, se la persona perseguita afferma di poter provare che, al momento del fatto, non si trovava nel luogo di commissione, l'Ufficio federale procede ai chiarimenti necessari (cpv. 1). Nei casi palesi, l'estradi- zione è negata. Negli altri casi, le prove a discarico sono comunicate allo Stato richiedente invitandolo a dichiarare entro breve termine se intende mantenere la domanda (cpv. 2). A tal proposito, giova ricordare che non è compito del giudice dell'estradizione ma del giudice estero del merito pro- nunciarsi sulla colpevolezza della persona oggetto di una domanda d'e- stradizione (DTF 122 II 373 consid. 1c; 112 Ib 215 consid. 5b; 109 Ib 60 consid. 5a). L'eccezione a tale principio è appunto data allorquando la per- sona perseguita è in grado di fornire un alibi ai sensi dell'art. 53 AIMP, os- sia la prova evidente ch'ella non si trovava sul luogo del crimine al momen- to della sua commissione (DTF 113 Ib 276 consid. 3b; 112 Ib 215 con- sid. 5b; 109 Ib 317 consid. 11b); una versione dei fatti differente da quella descritta nella richiesta estera o semplici argomenti a discarico non posso- no essere presi in considerazione a tale titolo (JdT 2012 IV 5 n. 140). In al- tre parole, è necessario che il fatto invocato come alibi conduca ineluttabil- mente ad un giudizio d'innocenza nello Stato richiedente e alla messa in li- bertà, ciò che giustifica la reiezione della domanda d'estradizione (v. sen- tenze del Tribunale federale 1A.199/2006 del 2 novembre 2006, con- sid. 2.6; 1A.174/2006 del 2 ottobre 2006, consid. 4; 1A.159/2006 del 17 agosto 2006, consid. 5; 1A.43/2006 del 6 aprile 2006, consid. 2). La fa- coltà prevista all'art. 53 cpv. 2 AIMP non implica per l'UFG l'apertura di una</w:t>
      </w:r>
    </w:p>
    <w:p>
      <w:r>
        <w:t>- 6 -</w:t>
      </w:r>
    </w:p>
    <w:p>
      <w:r>
        <w:t>procedura speciale e complessa destinata a determinare la realtà dell'alibi invocato (DTF 112 Ib 215 consid. 5b; 92 I 108 consid. 1). In particolare, l'in- terrogatorio di persone residenti all'estero non rientra nella sua missione (sentenza 1A.174/2006, consid. 4.5; 1A.79/1994 del 7 giugno 1994, con- sid. 3c; 1A.206/1989 del 17 gennaio 1990, consid. 3c). Occorre comunque diffidare delle testimonianze rese da persone vicine alla persona persegui- ta, persone che potranno in ogni caso essere citate davanti all'autorità di giudizio (sentenza del Tribunale federale 1A.149/2004 del 20 luglio 2004, consid. 2; 1A.54/1994 del 27 aprile 1994, consid. 2b; 1A.88/1990 del</w:t>
      </w:r>
    </w:p>
    <w:p>
      <w:r>
        <w:rPr>
          <w:b/>
        </w:rPr>
        <w:t>E. 3.2</w:t>
      </w:r>
    </w:p>
    <w:p>
      <w:r>
        <w:t>Nella fattispecie, il ricorrente si limita a contestare i fatti imputatigli dall'auto- rità rogante senza fornire alcun elemento concreto che possa condurre questa Corte a considerare che sia data in maniera inequivocabile l'esi- stenza di un alibi. Peraltro, la richiesta dell'estradando di poter esaminare tutto l'incarto dell'UFG allo scopo di fornire tale alibi (act. 1, p. 4) appare, da un lato, non conforme alle esigenze imposte dalla giurisprudenza resa in materia e, dall'altro, superflua. In effetti, va in primo luogo ricordato che l'accesso agli atti dell'estradando si limita ai documenti decisivi per l'esito del gravame e non a tutto l'incarto (sentenza del Tribunale penale federale RR.2012.277 del 6 febbraio 2013, consid. 2.1 e riferimenti citati). Inoltre, al- la luce degli elementi esposti dall'autorità rogante, ripresi segnatamente nell'ordine di arresto impugnato, e degli atti a cui il ricorrente ha avuto ac- cesso, quest'ultimo disponeva di sufficienti elementi fattuali per potere, se dal caso, esporre e dimostrare il proprio alibi. Per tale medesimo motivo, non vi è ragione di dar seguito alla prerogativa unilateralmente arrogatasi dall'insorgente (v. supra Fatti lett. F) e accettare che lo stesso prenda posi- zione sulla fattispecie in esame al di là del termine impartitogli a tale scopo dalla scrivente Corte (act. 2). In definitiva, non essendovi elementi imme- diatamente disponibili che permettano di confermare in modo indubbio la sussistenza di un alibi, la censura relativa alla pretesa violazione dell'art. 53 AIMP va respinta.</w:t>
      </w:r>
    </w:p>
    <w:p>
      <w:r>
        <w:rPr>
          <w:b/>
        </w:rPr>
        <w:t>E. 4</w:t>
      </w:r>
    </w:p>
    <w:p>
      <w:r>
        <w:t>L'estradando contesta altresì l'ordine di arresto affermando che non si sot- trarrà all'estradizione né comprometterà l'istruzione penale.</w:t>
      </w:r>
    </w:p>
    <w:p>
      <w:r>
        <w:rPr>
          <w:b/>
        </w:rPr>
        <w:t>E. 4.1</w:t>
      </w:r>
    </w:p>
    <w:p>
      <w:r>
        <w:t>Come indicato supra, giusta l'art. 47 cpv. 1 lett. a AIMP l'Ufficio può pre- scindere dall'emettere un ordine di arresto in vista d'estradizione segnata- mente se la persona perseguita verosimilmente non si sottrarrà all'estradi- zione né comprometterà l'istruzione penale. Queste due condizioni sono cumulative; se l'interessato si prevale unicamente della realizzazione di una</w:t>
      </w:r>
    </w:p>
    <w:p>
      <w:r>
        <w:t>- 7 -</w:t>
      </w:r>
    </w:p>
    <w:p>
      <w:r>
        <w:t>delle stesse non potrà pretendere che si rinunci alla detenzione estradizio- nale (DTF 109 Ib 58 consid. 2).</w:t>
      </w:r>
    </w:p>
    <w:p>
      <w:r>
        <w:rPr>
          <w:b/>
        </w:rPr>
        <w:t>E. 4.2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fosse a tal punto inverosimile da poter essere scon- giurato tramite l'adozione di misure sostitutive (sentenza 8G.45/2001 del 15 agosto 2001, consid. 3a). Tenuto conto di questa giurisprudenza, il Tri- bunale penale federale ha quindi confermato l'esistenza del pericolo di fuga nel caso di una persona perseguita con moglie, due bambini (di sette anni e mezzo e due anni e mezzo) e altri parenti in Svizzera (sentenza BH.2005.45 del 20 dicembre 2005, consid. 2.2.2). Medesimo esito nel caso di una persona ininterrottamente residente in Svizzera per dieci anni, con moglie e quattro bambini, di un anno e mezzo, tre, otto e diciotto anni (sen- tenza BH.2005.8 del 7 aprile 2005, consid. 2.3) e in quello di una persona ininterrottamente in Svizzera da dieci anni, con la sua partner e gli amici più stretti (sentenza BH.2006.4 del 21 marzo 2006, consid. 2.2.1). In una sen- tenza del 24 novembre 2009 il Tribunale penale federale ha per contro or- 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 zione di misure sostitutive della detenzione (v. ibidem consid. 6.3). Visto anche che la pena massima rischiata all'estero era di due anni di prigione, il Tribunale ha ritenuto che il pagamento di una elevata cauzione corrispon- dente alla metà dei beni patrimoniali dell'estradando, unitamente all'utilizzo di un braccialetto elettronico ("Electronic Monitoring"; sull'applicabilità di questo sistema di sorveglianza v. DTF 136 IV 20), costituivano misure atte a scongiurare il pericolo di fuga (v. sentenza RR.2009.329 consid. 6.6.6). Parimenti, il Tribunale federale ha ordinato la liberazione di una donna americana di 47 anni residente a Zurigo dal 1955, con stretti legami affettivi e professionali in Svizzera. L'Alta Corte ha considerato che le precarie con- dizioni di salute della donna, unitamente al fatto che la stessa, una volta al</w:t>
      </w:r>
    </w:p>
    <w:p>
      <w:r>
        <w:t>- 8 -</w:t>
      </w:r>
    </w:p>
    <w:p>
      <w:r>
        <w:t>corrente dell'inchiesta penale in Italia e dell'ordine di arresto spiccato nei suoi confronti dalle autorità di quel Paese, non abbia intrapreso nulla per lasciare la Svizzera, fossero elementi importanti per concludere che il peri- colo di fuga era estremamente esiguo. Quest'ultimo è stato in definitiva scongiurato con l'adozione di misure sostitutive quali il deposito di una cau- zione di CHF 50'000.- nonché la consegna dei documenti d'identità (v. sentenza 8G.76/2001 del 14 novembre 2001, consid. 3c).</w:t>
      </w:r>
    </w:p>
    <w:p>
      <w:r>
        <w:rPr>
          <w:b/>
        </w:rPr>
        <w:t>E. 4.3</w:t>
      </w:r>
    </w:p>
    <w:p>
      <w:r>
        <w:t>Nel caso concreto, non sono palesemente dati i presupposti per derogare al regime restrittivo vigente in materia di detenzione estradizionale e per porre quindi il ricorrente in libertà. I legami che egli presenta in effetti con il territorio elvetico appaiono a dir poco tenui. Cittadino italiano, il ricorrente risiede da poco tempo in Svizzera (si sarebbe, a suo dire, annunciato pres- so il comune di U. molto recentemente, ossia l'11 settembre 2013) senza peraltro disporre di un regolare permesso di soggiorno. Non svolge inoltre alcuna attività professionale e non ha legami famigliari in questo Paese. Tale situazione, soprattutto alla luce della sopraccitata giurisprudenza, me- diante la quale il Tribunale federale ha negato la scarcerazione a persone residenti e attive professionalmente in Svizzera da molti anni, è indice di un alto rischio di fuga. Va inoltre aggiunto che l'estradando non richiede o pro- pone alcun provvedimento cautelare sostitutivo alla detenzione (art. 47 cpv. 2 AIMP). Tali provvedimenti non apparirebbero comunque sufficienti nella fattispecie per eliminare il rischio di fuga. In particolare, per quanto concer- ne la sorveglianza tramite braccialetto elettronico, va sottolineato come tale misura può entrare in linea di conto unicamente quando è accompagnata dal deposito di una cauzione (ATF 136 IV 20 consid. 3 e sentenze del Tri- bunale penale federale RR.2009.329 del 24 novembre 2009, consid. 6.4.2 e RR.2012.1 del 17 febbraio 2012, consid. 2.2), la quale non è stata in casu proposta né del resto il ricorrente ha fornito elementi di sorta per valutarne l'eventualità.</w:t>
      </w:r>
    </w:p>
    <w:p>
      <w:r>
        <w:t>Quanto precede dispensa questa Corte dalla necessità di esaminare la di- sponibilità del ricorrente a non compromettere l'istruzione penale (con- sid. 4.1).</w:t>
      </w:r>
    </w:p>
    <w:p>
      <w:r>
        <w:rPr>
          <w:b/>
        </w:rPr>
        <w:t>E. 5</w:t>
      </w:r>
    </w:p>
    <w:p>
      <w:r>
        <w:t>Sulla base dell'incarto non sono ravvisabili altri motivi che permetterebbero di ordinare la scarcerazione dell'estradando. In definitiva, sussistendo un reale pericolo di fuga e in assenza di altra soluzione equivalente nei suoi ri- sultati ma meno incisiva nei confronti dell'interessato, il provvedimento im- pugnato va tutelato. Non vi è quindi ragione di scarcerare l'estradando or- dinando misure cautelari sostitutive.</w:t>
      </w:r>
    </w:p>
    <w:p>
      <w:r>
        <w:t>- 9 -</w:t>
      </w:r>
    </w:p>
    <w:p>
      <w:r>
        <w:rPr>
          <w:b/>
        </w:rPr>
        <w:t>E. 6</w:t>
      </w:r>
    </w:p>
    <w:p>
      <w:r>
        <w:t>In conclusione il ricorso è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