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RH.2013.6 vom 2. Oktober 2013</w:t>
      </w:r>
    </w:p>
    <w:p>
      <w:r>
        <w:t>Bundesstrafgericht, 2013-10-02, DE</w:t>
      </w:r>
    </w:p>
    <w:p>
      <w:r>
        <w:rPr>
          <w:b/>
        </w:rPr>
        <w:t xml:space="preserve">Quelle: </w:t>
      </w:r>
      <w:r>
        <w:t>https://mcp.opencaselaw.ch/entscheid/bstger_RH.2013.6</w:t>
      </w:r>
    </w:p>
    <w:p>
      <w:r>
        <w:t>FR: TPF RH.2013.6 du 2 octobre 2013</w:t>
      </w:r>
    </w:p>
    <w:p>
      <w:r>
        <w:t>IT: TPF RH.2013.6 del 2 ottobre 2013</w:t>
      </w:r>
    </w:p>
    <w:p>
      <w:pPr>
        <w:pStyle w:val="Heading2"/>
      </w:pPr>
      <w:r>
        <w:t>Regeste</w:t>
      </w:r>
    </w:p>
    <w:p>
      <w:r>
        <w:t>Auslieferung an Deutschland. Auslieferungshaftbefehl (Art. 48 Abs. 2 IRSG).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Für den Auslieferungsverkehr und die Auslieferungshaft zwischen der Schweiz und Deutschland sind primär das Europäische Auslieferungsüber- einkommen vom 13. Dezember 1957 (EAUe, SR 0.353.1), das hierzu er- gangene zweite Zusatzprotokoll vom 17. März 1978 (2. ZP; SR 0.353.12), welchem beide Staaten beigetreten sind, sowie der Vertrag vom 13. No- vember 1969 zwischen der Schweizerischen Eidgenossenschaft und der Bundesrepublik Deutschland über die Ergänzung des EAUe und die Er- leichterung seiner Anwendung (Zusatzvertrag; SR 0.353.913.61) massge- bend. Ausserdem gelangen die Bestimmungen der Art. 59 ff. des Überein- kommens vom 19. Juni 1990 zur Durchführung des Übereinkommens von Schengen vom 14. Juni 1985 (Schengener Durchführungsübereinkommen, SDÜ; Abl. L 239 vom 22. September 2000, S. 19-62) zur Anwendung (BGE 136 IV 88 E. 3.1 S. 89), wobei die zwischen den Vertragsparteien geltenden weitergehenden Bestimmungen aufgrund bilateraler Abkommen unberührt bleiben (Art. 59 Abs. 2 SDÜ).</w:t>
      </w:r>
    </w:p>
    <w:p>
      <w:r>
        <w:rPr>
          <w:b/>
        </w:rPr>
        <w:t>E. 1.2</w:t>
      </w:r>
    </w:p>
    <w:p>
      <w:r>
        <w:t>Soweit diese Staatsverträge bestimmte Fragen nicht abschliessend regeln, findet auf das Verfahren der Auslieferung und der vorläufigen Ausliefe- rungshaft ausschliesslich das Recht des ersuchten Staates Anwendung (Art. 22 EAUe), vorliegend also das Bundesgesetz vom 20. März 1981 (Rechtshilfegesetz, IRSG; SR 351.1) und die Verordnung vom 24. Febru- ar 1982 über internationale Rechtshilfe in Strafsachen (Rechtshilfeverord- nung, IRSV; SR 351.11). Dies gilt auch im Verhältnis zum SDÜ (Art. 1 Abs. 1 lit. a IRSG). Das innerstaatliche Recht gelangt nach dem Günstig- keitsprinzip auch dann zur Anwendung, wenn dieses geringere Anforde- rungen an die Auslieferung stellt (BGE 137 IV 33 E. 2.2.2 S. 40 f.; 136 IV 82 E. 3.1; 122 II 140 E. 2 S. 142). Vorbehalten bleibt die Wahrung der Menschenrechte (BGE 135 IV 212 E. 2.3; 123 II 595 E. 7c S. 616).</w:t>
      </w:r>
    </w:p>
    <w:p>
      <w:r>
        <w:rPr>
          <w:b/>
        </w:rPr>
        <w:t>E. 2.1</w:t>
      </w:r>
    </w:p>
    <w:p>
      <w:r>
        <w:t>Gegen den Auslieferungshaftbefehl des Bundesamtes kann der Verfolgte innert zehn Tagen ab der schriftlichen Eröffnung Beschwerde bei der Be- schwerdekammer des Bundesstrafgerichts führen (Art. 48 Abs. 2 IRSG i.V.m. Art. 47 IRSG; Art. 19 Abs. 1 des Organisationsreglements für das Bundesstrafgericht [BStGerOR] i.V.m. Art. 37 Abs. 2 lit. a des Bundesge- setzes über die Organisation der Strafbehörden des Bundes [StBOG; SR 173.71]). Für das Beschwerdeverfahren gelten die Art. 379–397 StPO sinngemäss (Art. 48 Abs. 2 i.V.m. Art. 47 IRSG). Im Übrigen gelten die all- gemeinen Bestimmungen des IRSG und des Bundesgesetzes vom 20. De-</w:t>
      </w:r>
    </w:p>
    <w:p>
      <w:r>
        <w:t>- 4 -</w:t>
      </w:r>
    </w:p>
    <w:p>
      <w:r>
        <w:t>zember 1968 über das Verwaltungsverfahren (Verwaltungsverfahrensge- setz, VwVG; SR 172.021; vgl. Art. 39 Abs. 2 lit. b StBOG).</w:t>
      </w:r>
    </w:p>
    <w:p>
      <w:r>
        <w:rPr>
          <w:b/>
        </w:rPr>
        <w:t>E. 2.2</w:t>
      </w:r>
    </w:p>
    <w:p>
      <w:r>
        <w:t>In der Beschwerde führte die Rechtsvertreterin des Beschwerdeführers zu- nächst aus, gemäss Auskunft des Beschwerdeführers sei ihm der Ausliefe- rungshaftbefehl am 3. September 2013 zugestellt worden und sie habe gleichentags den Entscheid per Fax erhalten, weshalb die Beschwerde damit innert der 10-tägigen Beschwerdefrist erfolgt sei (act. 1 S. 4). Gemäss der vom Beschwerdeführer unterschriebenen Empfangsbestäti- gung wurde der angefochtene Auslieferungshaftbefehl ihm allerdings be- reits am 2. September 2013, um 14.10 Uhr, eröffnet (act. 3.7). Demzufolge wurde seine Beschwerde vom 13. September 2013 – wie vom Beschwer- degegner in der Beschwerdeantwort vorgebracht – nicht innerhalb der 10- tägigen Beschwerdefrist erhoben.</w:t>
      </w:r>
    </w:p>
    <w:p>
      <w:r>
        <w:rPr>
          <w:b/>
        </w:rPr>
        <w:t>E. 2.3</w:t>
      </w:r>
    </w:p>
    <w:p>
      <w:r>
        <w:t>In der Beschwerdereplik machte die Rechtsvertreterin des Beschwerdefüh- rers neu geltend, die direkte Eröffnung des Auslieferungshaftbefehls an den Beschwerdeführer am 2. September 2013 habe keine Rechtswirkung zu erzeugen vermocht (act. 4 S. 2 f.). Unter Berufung auf Art. 87 Abs. 3 StPO führte sie zur Begründung aus, dass dem Beschwerdegegner die anwaltliche Vollmacht am 29. Au- gust 2013 vorgelegen habe und die Behörden damit im Zeitpunkt der Eröff- nung des Auslieferungshaftbefehls an den Beschwerdeführer am 2. Sep- tember 2013 über dessen Verbeiständung längst Bescheid gewusst hätten. An der Regelung von Art. 87 Abs. 3 StPO ändere der Umstand nichts, dass der Beschwerdegegner die Kantonspolizei Zürich bereits am 28. Au- gust 2013 mit der Aushändigung bzw. der Eröffnung des Auslieferungs- haftbefehls, das heisse vor Eingang der anwaltlichen Vollmacht, beauftragt habe. Der Beschwerdegegner vermöge die Regelung von Art. 87 Abs. 3 StPO mit anderen Worten nicht mit der Argumentation zu umgehen, die in- terne Auftragserteilung zur Eröffnung des Auslieferungshaftbefehls sei vor Kenntnis über die anwaltliche Vertretung erfolgt (act. 4 S. 3). Nur der Voll- ständigkeit halber sei zu erwähnen, dass dem mit der Zustellung beauftrag- ten Kantonspolizisten die anwaltliche Vollmacht bereits am 28. Au- gust 2013 vorgelegen habe. Die Rechtsvertreterin folgert, die 10-tägige Be- schwerdefrist sei bis zum 13. September 2013 gelaufen, nachdem der Aus- lieferungshaftbefehl ihr unbestrittenermassen erst mit Faxschreiben vom</w:t>
      </w:r>
    </w:p>
    <w:p>
      <w:r>
        <w:rPr>
          <w:b/>
        </w:rPr>
        <w:t>E. 2.4</w:t>
      </w:r>
    </w:p>
    <w:p>
      <w:r>
        <w:t>Da der angefochtene Auslieferungshaftbefehl mit Zustellung und Eröffnung an den Beschwerdeführer am 2. September 2013 nach dem Gesagten rechtsgültig erfolgte, ist auf die folglich nicht fristgerecht eingereichte Be- schwerde vom 13. September 2013 nicht einzutreten.</w:t>
      </w:r>
    </w:p>
    <w:p>
      <w:r>
        <w:rPr>
          <w:b/>
        </w:rPr>
        <w:t>E. 3</w:t>
      </w:r>
    </w:p>
    <w:p>
      <w:r>
        <w:t>Bei diesem Ausgang des Verfahrens wird der Beschwerdeführer kosten- pflichtig (Art. 63 Abs. 1 VwVG i.V.m. Art. 39 Abs. 2 lit. b StBOG). Für die Berechnung der Gerichtsgebühren gelangt Art. 5 des Reglements des Bundesstrafgerichts vom 31. August 2010 über die Kosten, Gebühren und Entschädigungen in Bundesstrafverfahren (BStKR [SR 173.713.162] i.V.m. Art. 63 Abs. 4bis VwVG und Art. 63 Abs. 5 VwVG) zur Anwendung. Unter Berücksichtigung aller Umstände ist die Gerichtsgebühr vorliegend auf Fr. 500.-- festzusetzen.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