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RH.2013.2 vom 13. März 2013</w:t>
      </w:r>
    </w:p>
    <w:p>
      <w:r>
        <w:t>Bundesstrafgericht, 2013-03-13, DE</w:t>
      </w:r>
    </w:p>
    <w:p>
      <w:r>
        <w:rPr>
          <w:b/>
        </w:rPr>
        <w:t xml:space="preserve">Quelle: </w:t>
      </w:r>
      <w:r>
        <w:t>https://mcp.opencaselaw.ch/entscheid/bstger_RH.2013.2</w:t>
      </w:r>
    </w:p>
    <w:p>
      <w:r>
        <w:t>FR: TPF RH.2013.2 du 13 mars 2013</w:t>
      </w:r>
    </w:p>
    <w:p>
      <w:r>
        <w:t>IT: TPF RH.2013.2 del 13 marzo 2013</w:t>
      </w:r>
    </w:p>
    <w:p>
      <w:pPr>
        <w:pStyle w:val="Heading2"/>
      </w:pPr>
      <w:r>
        <w:t>Regeste</w:t>
      </w:r>
    </w:p>
    <w:p>
      <w:r>
        <w:t>Auslieferung an Ukraine. Auslieferungshaftbefehl (Art. 48 Abs. 2 IRSG).</w:t>
      </w:r>
    </w:p>
    <w:p>
      <w:pPr>
        <w:pStyle w:val="Heading2"/>
      </w:pPr>
      <w:r>
        <w:t>Erwägungen</w:t>
      </w:r>
    </w:p>
    <w:p>
      <w:r>
        <w:rPr>
          <w:b/>
        </w:rPr>
        <w:t>E. 1</w:t>
      </w:r>
    </w:p>
    <w:p>
      <w:r>
        <w:t>Für den Auslieferungsverkehr und die vorläufige Auslieferungshaft zwi- schen der Schweiz und der Ukraine sind primär das Europäische Ausliefe- rungsübereinkommen vom 13. Dezember 1957 (EAUe; SR 0.353.1), das zu diesem Übereinkommen am 15. Oktober 1975 ergangene erste Zusatz- protokoll (1. ZP; SR 0.353.11) sowie das am 17. März 1978 ergangene zweite Zusatzprotokoll (2. ZP; SR 0.353.12) massgebend.</w:t>
      </w:r>
    </w:p>
    <w:p>
      <w:r>
        <w:t>- 4 -</w:t>
      </w:r>
    </w:p>
    <w:p>
      <w:r>
        <w:t>Wo Übereinkommen und Zusatzprotokolle nichts anderes bestimmen, fin- det auf das Verfahren der Auslieferung und der vorläufigen Auslieferungs- 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 Art. 1 Abs. 1 lit. a IRSG). Das innerstaatliche Recht ge- langt nach dem Günstigkeitsprinzip auch dann zur Anwendung, wenn die- ses geringere Anforderungen an die Auslieferung stellt (BGE 137 IV 33 E. 2.2.2; 136 IV 82 E. 3.1; 129 II 462 E. 1.1 S. 464). Vorbehalten bleibt die Wahrung der Menschenrechte (vgl. BGE 135 IV 212 E. 2.3 S. 215; 123 II 595 E. 7c S. 616 ff.; je m.w.H.).</w:t>
      </w:r>
    </w:p>
    <w:p>
      <w:r>
        <w:rPr>
          <w:b/>
        </w:rPr>
        <w:t>E. 2.1</w:t>
      </w:r>
    </w:p>
    <w:p>
      <w:r>
        <w:t>Gegen den Auslieferungshaftbefehl des BJ kann der Verfolgte innert zehn Tagen ab der schriftlichen Eröffnung Beschwerde bei der Beschwerde- kammer des Bundesstrafgerichts führen (Art. 48 Abs. 2 IRSG i.V.m. Art. 47 IRSG; Art. 19 Abs. 1 des Organisationsreglements für das Bundes- strafgericht vom 31. August 2010 [BStGerOR; SR 173.713.161] i.V.m Art. 37 Abs. 2 lit. a des Bundesgesetzes vom 19. März 2010 über die Or- ganisation der Strafbehörden des Bundes [StBOG; SR 173.71]). Für das Beschwerdeverfahren gelten die Art. 379 – 397 StPO sinngemäss (Art. 48 Abs. 2 IRSG). Der vorliegend angefochtene Auslieferungshaftbe- fehl wurde dem Beschwerdeführer am 11. Februar 2013 schriftlich eröffnet. Seine mit 20. Februar 2013 datierte Beschwerde (Postaufgabe 21. Februar 2013) erweist sich als fristgerecht. Die übrigen Eintretensvoraussetzungen geben keinen Anlass zu weiteren Bemerkungen. Auf die Beschwerde ist demnach einzutreten.</w:t>
      </w:r>
    </w:p>
    <w:p>
      <w:r>
        <w:rPr>
          <w:b/>
        </w:rPr>
        <w:t>E. 2.2</w:t>
      </w:r>
    </w:p>
    <w:p>
      <w:r>
        <w:t>Die Beschwerdekammer ist bei ihrem Entscheid weder an die Anträge noch an die Begründungen der Parteien gebunden (Art. 25 Abs. 6 IRSG). Sie prüft die Auslieferungshaftvoraussetzungen mit freier Kognition, befasst sich jedoch nur mit Tat- und Rechtsfragen, die Streitgegenstand der Be- schwerde bilden (vgl. BGE 132 II 81 E. 1.4; 130 II 337 E. 1.4 sowie zuletzt u. a. der Entscheid des Bundesstrafgerichts RH.2012.17 vom 28. Dezem- ber 2012; m.w.H.).</w:t>
      </w:r>
    </w:p>
    <w:p>
      <w:r>
        <w:rPr>
          <w:b/>
        </w:rPr>
        <w:t>E. 3</w:t>
      </w:r>
    </w:p>
    <w:p>
      <w:r>
        <w:t>Die Verhaftung des Beschuldigten während des ganzen Auslieferungsver- fahrens bildet die Regel (BGE 136 IV 20 E. 2.2 S. 23; 130 II 306 E. 2.2 S. 309). Eine Aufhebung des Auslieferungshaftbefehls sowie eine Haftent-</w:t>
      </w:r>
    </w:p>
    <w:p>
      <w:r>
        <w:t>- 5 -</w:t>
      </w:r>
    </w:p>
    <w:p>
      <w:r>
        <w:t>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 Offensichtlich unzulässig kann ein Ausliefe- rungsersuchen sein, wenn ohne jeden Zweifel und ohne weitere Abklärun- gen ein Ausschlussgrund vorliegt (vgl. BGE 111 IV 108 E. 3a). Im Übrigen sind Vorbringen gegen die Auslieferung als solche oder gegen die Begrün- detheit des Auslieferungsbegehrens nicht im vorliegenden Beschwerdever- fahren, sondern im eigentlichen Auslieferungsverfahren zu prüfen (vgl. LAURENT MOREILLON / MICHEL DUPUIS / MIRIAM MAZOV, La pratique judiciaire du Tribunal pénal fédéral, in Journal des Tribunaux 2009 IV 111 Nr. 190 und 2008 IV 66 Nr. 322 je m.w.H. auf die Rechtsprechung). Diese Rege- lung soll es der Schweiz ermöglichen, ihren staatsvertraglichen Ausliefe- rungspflichten nachzukommen. Die ausnahmsweise zu gewährende Haft- entlassung ist deshalb an strengere Voraussetzungen gebunden als der Verzicht auf die gewöhnliche Untersuchungshaft in einem Strafverfahren oder die Entlassung aus einer solchen (vgl. BGE 130 II 306 E. 2.2 und 2.3; 111 IV 108 E. 2).</w:t>
      </w:r>
    </w:p>
    <w:p>
      <w:r>
        <w:rPr>
          <w:b/>
        </w:rPr>
        <w:t>E. 4.1</w:t>
      </w:r>
    </w:p>
    <w:p>
      <w:r>
        <w:t>Gegen die Anordnung der Auslieferungshaft bringt der Beschwerdeführer sinngemäss vor, dass er die ihm in den Auslieferungsunterlagen vorgewor- fenen Taten nicht begangen habe (act. 1).</w:t>
      </w:r>
    </w:p>
    <w:p>
      <w:r>
        <w:rPr>
          <w:b/>
        </w:rPr>
        <w:t>E. 4.2</w:t>
      </w:r>
    </w:p>
    <w:p>
      <w:r>
        <w:t>Diese Bestreitung des Sachverhalts vermag keinen Haftentlassungsgrund zu begründen (s. supra Ziff. 3). Eine Aufhebung des Auslieferungshaftbe- fehls und eine Haftentlassung rechtfertigen sich in diesem Zusammenhang lediglich dann, wenn der Verfolgte den so genannten Alibibeweis erbringt. Einen solchen hat der Beschwerdeführer nicht erbracht.</w:t>
      </w:r>
    </w:p>
    <w:p>
      <w:r>
        <w:t>- 6 -</w:t>
      </w:r>
    </w:p>
    <w:p>
      <w:r>
        <w:rPr>
          <w:b/>
        </w:rPr>
        <w:t>E. 5.1</w:t>
      </w:r>
    </w:p>
    <w:p>
      <w:r>
        <w:t>Der Beschwerdeführer macht in einem nächsten Punkt sinngemäss gel- tend, dass sein Geständnis erfoltert worden sei und ihm im Falle einer Aus- lieferung in die Ukraine weitere Folter drohe (act.1).</w:t>
      </w:r>
    </w:p>
    <w:p>
      <w:r>
        <w:rPr>
          <w:b/>
        </w:rPr>
        <w:t>E. 5.2</w:t>
      </w:r>
    </w:p>
    <w:p>
      <w:r>
        <w:t>Mit dieser Argumentation verkennt der Beschwerdeführer, dass Vorbringen gegen die Auslieferung als solche oder gegen die Begründetheit des Aus- lieferungsbegehrens im eigentlichen Auslieferungsverfahren zu prüfen sind (s. supra Ziff. 3). Entsprechende Schritte zur Erlangung von Garantien für ein menschenrechtskonformes Verfahren sowie die Prüfung der Glaubwür- digkeit solcher Garantien hat der Beschwerdegegner im Übrigen bereits in die Wege geleitet. Damit geht auch diese Rüge des Beschwerdeführers fehl.</w:t>
      </w:r>
    </w:p>
    <w:p>
      <w:r>
        <w:rPr>
          <w:b/>
        </w:rPr>
        <w:t>E. 6</w:t>
      </w:r>
    </w:p>
    <w:p>
      <w:r>
        <w:t>Zusammenfassend ergibt sich, dass vorliegend keine Gründe auszuma- chen sind, welche eine ausnahmsweise Aufhebung der Auslieferungshaft als angezeigt erscheinen lassen. Die Beschwerde erweist sich somit als gesamthaft unbegründet und ist daher abzuweisen.</w:t>
      </w:r>
    </w:p>
    <w:p>
      <w:r>
        <w:rPr>
          <w:b/>
        </w:rPr>
        <w:t>E. 7</w:t>
      </w:r>
    </w:p>
    <w:p>
      <w:r>
        <w:t>Bei diesem Ausgang des Verfahrens wird der Beschwerdeführer kosten- pflichtig (Art. 63 Abs. 1 VwVG i.V.m. Art. 39 Abs. 2 lit. b StBOG). Für die Berechnung der Gerichtsgebühren gelangt Art. 5 des Reglements des Bundesstrafgerichts vom 31. August 2010 über die Kosten, Gebühren und Entschädigungen in Bundesstrafverfahren (BStKR [SR 173.713.162] i.V.m. Art. 63 Abs. 4bis VwVG und Art. 63 Abs. 5 VwVG) zur Anwendung. Unter Berücksichtigung aller Umstände ist die Gerichtsgebühr vorliegend auf Fr. 1’000.-- festzusetzen.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