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RH.2012.9 vom 23. August 2012</w:t>
      </w:r>
    </w:p>
    <w:p>
      <w:r>
        <w:t>Bundesstrafgericht, 2012-08-23, DE</w:t>
      </w:r>
    </w:p>
    <w:p>
      <w:r>
        <w:rPr>
          <w:b/>
        </w:rPr>
        <w:t xml:space="preserve">Quelle: </w:t>
      </w:r>
      <w:r>
        <w:t>https://mcp.opencaselaw.ch/entscheid/bstger_RH.2012.9</w:t>
      </w:r>
    </w:p>
    <w:p>
      <w:r>
        <w:t>FR: TPF RH.2012.9 du 23 août 2012</w:t>
      </w:r>
    </w:p>
    <w:p>
      <w:r>
        <w:t>IT: TPF RH.2012.9 del 23 agosto 2012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Dezember 1957 (EAUe; SR 0.353.1), das zu diesem Übereinkommen am 17. März 1978 ergangene zweite Zusatzprotokoll (2. ZP; SR 0.353.12), welchem beide Staaten beigetreten sind, sowie der zwischen der Schweiz und Deutschland abgeschlossene Zusatzvertrag über die Ergänzung des EAUe und die Erleichterung seiner Anwendung vom 13. November 1969 (Zusatz- vertrag; SR 0.353.913.61) massgebend. Ausserdem gelangen die Bestim- mungen der Art. 59 ff. des Übereinkommens vom 19. Juni 1990 zur Durch- führung des Übereinkommens von Schengen vom 14. Juni 1985 (Schen- gener Durchführungsübereinkommen, SDÜ; ABI. L 239 vom</w:t>
      </w:r>
    </w:p>
    <w:p>
      <w:r>
        <w:t>- 4 -</w:t>
      </w:r>
    </w:p>
    <w:p>
      <w:r>
        <w:t>22. September 2000, S. 19 – 62) zur Anwendung (BGE 136 IV 88 E. 3.1), wobei die zwischen den Vertragsparteien geltenden weitergehenden Be- stimmungen aufgrund bilateraler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Dies gilt auch im Verhältnis zum SDÜ (Art. 1 Abs. 1 lit. a IRSG). Das innerstaatliche Recht gelangt nach dem Günstigkeitsprin- zip auch dann zur Anwendung, wenn dieses geringere Anforderungen an die Auslieferung stellt (BGE 136 IV 82 E. 3.1; 129 II 462 E. 1.1 S. 464 und 122 I 140 E. 2 S. 142). Vorbehalten bleibt die Wahrung der Menschenrech- te (BGE 135 IV 212 E. 2.3; 123 II 595 E. 7c).</w:t>
      </w:r>
    </w:p>
    <w:p>
      <w:r>
        <w:rPr>
          <w:b/>
        </w:rPr>
        <w:t>E. 2</w:t>
      </w:r>
    </w:p>
    <w:p>
      <w:r>
        <w:t>Gegen den Auslieferungshaftbefehl kann innert zehn Tagen seit der schrift- lichen Eröffnung des Entscheids bei der Beschwerdekammer des Bundes- strafgerichts Beschwerde geführt werden (Art. 48 Abs. 2 IRSG i.V.m. Art. 47 IRSG; Art. 37 Abs. 2 lit. a des Bundesgesetzes vom 19. März 2010 über die Organisation der Strafbehörden des Bundes [StBOG; SR 173.71] i.V.m. Art. 19 Abs. 1 des Organisationsreglements für das Bundesstrafge- richt vom 31. August 2010 [BStGerOR; SR 173.713.161]). Die mit Eingabe vom 29. Juli 2012 erhobene Beschwerde gegen den Auslieferungshaftbe- fehl vom 25. Juli 2012 wurde fristgerecht eingereicht, weshalb darauf einzu- treten ist.</w:t>
      </w:r>
    </w:p>
    <w:p>
      <w:r>
        <w:rPr>
          <w:b/>
        </w:rPr>
        <w:t>E. 3</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(Entscheide des Bundesstrafgerichts RR.2007.89 vom 20. August 2007, E. 2.4, m.w.H.; RR.2007.34 vom 29. März 2007, E. 3).</w:t>
      </w:r>
    </w:p>
    <w:p>
      <w:r>
        <w:rPr>
          <w:b/>
        </w:rPr>
        <w:t>E. 4</w:t>
      </w:r>
    </w:p>
    <w:p>
      <w:r>
        <w:t>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w:t>
      </w:r>
    </w:p>
    <w:p>
      <w:r>
        <w:t>- 5 -</w:t>
      </w:r>
    </w:p>
    <w:p>
      <w:r>
        <w:t>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(vgl. LAURENT MOREILLON / MICHEL DUPUIS / MIRIAM MAZOV,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 Dies gilt auch dann, wenn der Beschuldigte in der Schweiz niedergelassen ist und hier einer ordentlichen Geschäftstätigkeit nachgeht.</w:t>
      </w:r>
    </w:p>
    <w:p>
      <w:r>
        <w:rPr>
          <w:b/>
        </w:rPr>
        <w:t>E. 5.1</w:t>
      </w:r>
    </w:p>
    <w:p>
      <w:r>
        <w:t>Die Beschwerdeführerin bestreitet das Vorliegen von Fluchtgefahr. Sie verweist auf die Prognose, welche bis zum 25. Juli 2012 trotz des laufen- den Auslieferungsverfahrens gelautet habe, sie werde sich der Ausliefe- rung nicht entziehen (act. 1 S. 2). Sie stellt sich auf den Standpunkt, es ha- be vor der Entscheidfällung durch das Bundesstrafgericht keine Fluchtge- fahr bestanden; die Fluchtgefahr habe sich durch den Entscheid auch nicht erhöht (act. 4 S. 3).</w:t>
      </w:r>
    </w:p>
    <w:p>
      <w:r>
        <w:t>Im Einzelnen führt sie zur Begründung Folgendes an: Sie wolle nicht flie- hen und sei aufgrund ihres Alters von 56 Jahren wie auch ihrer gesundheit- lichen Situation nicht fähig zu fliehen bzw. unterzutauchen. Sie lebe seit 1,5 Jahren in der Schweiz und gehe hier einer geregelten Arbeit nach. Sie sei dabei, im Rahmen einer Stiftung grössere Projekte aufzubauen und lebe hier unauffällig. Sie sei in der Schweiz gut integriert (act. 1 S. 2). Sie habe seit ihrem Zuzug in die Schweiz das Land nicht mehr verlassen (act. 4</w:t>
      </w:r>
    </w:p>
    <w:p>
      <w:r>
        <w:t>- 6 -</w:t>
      </w:r>
    </w:p>
    <w:p>
      <w:r>
        <w:t>S. 3). Sie macht weiter geltend, sie könnte sich durch das Absetzen ins Ausland nicht in eine bessere Position bringen, da die Schweiz von EU- Staaten umgeben sei. Ein Absetzen in entferntere Regionen - so die Be- schwerdeführerin - sei unrealistisch, da sie nur des Deutschen mächtig sei und auch keinerlei Kontakte in solche entferntere Länder habe. Zudem lebe die Familie der Beschwerdeführerin in Deutschland und pflege mit dieser engen Kontakt, weshalb ein Abtauchen in die Illegalität auch aus diesem Grund undenkbar sei (act. 1 S. 2). Sie sei auch über die Chancen, die Be- willigung einer Auslieferung erfolgreich anzufechten, aufgeklärt worden. Sie wisse, dass diese Chancen gering seien. Folglich sei ihr auch von Anfang an bewusst gewesen, dass sie schon lange hätte untertauchen müssen, wenn die Freiheit ihre höchste Priorität gewesen wäre. Aber sie habe dies nicht getan, weil der Kontakt zu ihrer Familie und die Umsetzung ihres Pro- jekts in Frieden und Freiheit höchste Priorität geniesse. Daraus folge, dass der Beschwerdeentscheid des Bundesstrafgerichts vom 20. Juli 2012 bei ihr nicht plötzlich die Erkenntnis ausgelöst habe, ihr drohe mit hoher Wahr- scheinlichkeit die Auslieferung. Diese Wahrscheinlichkeit habe sie schon vorher gekannt. Eine Fluchtgefahr sei folglich weiterhin nicht gegeben.</w:t>
      </w:r>
    </w:p>
    <w:p>
      <w:r>
        <w:t>Für den Fall, dass das Gericht wider Erwarten von einer Fluchtgefahr aus- gehen sollte, ersucht die Beschwerdeführerin um Anordnung einer Sicher- heitsleistung als mildere und verhältnismässige Massnahme (act. 1 S. 6). Replicando erklärt sie, bereit zu sein, Auskunft zu ihrer finanziellen Situati- on zu geben, und ersucht im Bedarfsfall um Ansetzung einer Frist hierfür (act. 4 S. 3).</w:t>
      </w:r>
    </w:p>
    <w:p>
      <w:r>
        <w:rPr>
          <w:b/>
        </w:rPr>
        <w:t>E. 5.2</w:t>
      </w:r>
    </w:p>
    <w:p>
      <w:r>
        <w:t>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 wicht bei (vgl. BGE 130 II 306 E. 2 S. 310 ff. m.w.H.; TPF 2008 61 E. 7; Entscheide des Bundesstrafgerichts BH.2005.45 vom 20. Dezember 2005, E. 2.2.2; BH.2005.8 vom 7. April 2005, E. 2.3; RR.2007.72 vom 29. Mai 2007, E. 4.2 und 4.3; RR.2007.174 vom 27. November 2007, E. 5.2; RR.2008.214 vom 16. September 2008, E. 3.2). Bei drohenden, ho- hen Freiheitsstrafen ist eine Fluchtgefahr gemäss der Rechtsprechung in der Regel trotz Niederlassungsbewilligung und familiären Bindungen in der Schweiz gegeben. So wurde beispielsweise die Möglichkeit einer Verurtei- 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w:t>
      </w:r>
    </w:p>
    <w:p>
      <w:r>
        <w:t>- 7 -</w:t>
      </w:r>
    </w:p>
    <w:p>
      <w:r>
        <w:t>von 3 und 8 Jahren war, die beide die schweizerische Nationalität besas- sen und im Kanton Tessin eingeschult waren (Urteil des Bundesgerichts 8G.45/2001 vom 15. August 2001, E. 3a). Vor dem Hintergrund dieser strengen Rechtsprechung bejahte die Beschwerdekammer des Bundes- 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 strafgerichts BH.2005.8 vom 7. April 2005, E. 2.3) und bei einem Verfolg- ten, der seit seinem 17. Lebensjahr seit 10 Jahren ununterbrochen in der Schweiz lebte und seine Freundin wie auch den Freundeskreis hier hatte (Entscheid des Bundesstrafgerichts BH.2006.4 vom 21. März 2006, E. 2.2.1). Wenn überhaupt, wurde die Haftentlassung eher bei Verfolgten höheren Alters gewährt, z.B. bei einem Solchen im Alter von 65 Jahren (vgl. Urteil des Bundesgerichts 8G.66/2000 vom 5. Dezember 2000, E. 9c) – was diesen allerdings nicht an einer späteren Flucht hinderte, und 68 Jahren (Urteil des Bundesgerichts G.55/1993 vom 22. Oktober 1993; vgl. auch Entscheid des Bundesstrafgerichts BH.2005.8 vom 7. April 2005, E. 2.3), allerdings nur aufgrund der Leistung einer, gemessen an der finanziel- len Situation des jeweils Betroffenen, beträchtlichen Kaution (CHF 300'000.-- bzw. CHF 1 Mio.; bzgl. Kaution in casu siehe E. 7. 4).</w:t>
      </w:r>
    </w:p>
    <w:p>
      <w:r>
        <w:rPr>
          <w:b/>
        </w:rPr>
        <w:t>E. 5.3</w:t>
      </w:r>
    </w:p>
    <w:p>
      <w:r>
        <w:t>Nach Eingang des formellen Auslieferungsersuchens vom 21. Januar 2011 und den nachfolgenden Ergänzungen verzichtete das Bundesamt zunächst auf die Verhaftung der Beschwerdeführerin. In der Zwischenzeit bewilligte das Bundesamt mit Auslieferungsentscheid vom 14. Februar 2012 die Aus- lieferung der Beschwerdeführerin für die dem Auslieferungsersuchen des sächsischen Staatsministeriums für Justiz samt Ergänzungen zugrundelie- genden Straftaten (act. 3.7). Dieser Auslieferungsentscheid wurde am 20. Juli 2012 durch das hiesige Gericht zur Hauptsache bestätigt, wobei die dagegen von der Beschwerdeführerin erhobene Beschwerde am Bundes- gericht noch hängig ist (RR.2012.53). Im Unterschied zum Beginn des Aus- lieferungsverfahrens ist daher die Möglichkeit, nach Deutschland ausgelie- fert zu werden, für die Beschwerdeführerin in unmittelbare Nähe gerückt. Es liegt folglich auf der Hand, dass aufgrund des veränderten Verfahrens- standes sich die Fluchtmotivation der Beschwerdeführerin erhöht hat, wel- che, wie das Bundesamt zu Recht hervorhebt (act. 3 S. 4), im Falle einer Auslieferung an Deutschland die Verbüssung einer nicht geringen Frei- heitsstrafe erwartet. Die von der Beschwerdeführerin dagegen vorgetrage- nen Einwendungen ändern daran nichts: So reiste sie gemäss ihren eige-</w:t>
      </w:r>
    </w:p>
    <w:p>
      <w:r>
        <w:t>- 8 -</w:t>
      </w:r>
    </w:p>
    <w:p>
      <w:r>
        <w:t>nen Angaben erst vor eineinhalb Jahren in die Schweiz ein, weshalb von einer intensiven Verwurzelung der Beschwerdeführerin mit diesem Land nicht gesprochen werden kann. Dies gilt auch dann, wenn sie, wie sie gel- tend macht (act. 4 S. 3), seither das Land nicht mehr verlassen haben soll- te. Ihre Familie lebt in Deutschland und über ihre Arbeitstätigkeit in der Schweiz hinaus bestehen hier keine Bindungen. Soweit die Beschwerde- führerin sich darauf beruft, sie sei aufgrund ihres Alters von 56 Jahren und ihrer gesundheitlichen Situation nicht fähig, zu fliehen bzw. unterzutauchen (act. 1 S. 4), reicht sie nichts ein, was ihre Darstellung stützen würde. Zu- dem ist ihr entgegen zu halten, dass die geltend gemachten Umstände sie an der Einreise in die Schweiz nicht gehindert haben und unter diesem Ge- sichtspunkt betrachtet somit eine Flucht bzw. ein Untertauchen nicht aus- geschlossen werden kann. Ebenso wenig kann in der Tatsache, dass die Schweiz von EU-Staaten umgeben ist, in denen der europäische Haftbefehl gilt, eine ausreichend abschreckende Wirkung erblickt werden. Nach dem Gesagten ist vorliegend Fluchtgefahr anzunehmen.</w:t>
      </w:r>
    </w:p>
    <w:p>
      <w:r>
        <w:t>Diese Fluchtgefahr kann vorliegend nicht durch Ersatzmassnahmen ge- bannt werden. Zwar beantragt die Beschwerdeführerin die Anordnung einer Sicherheitsleistung als mildere und verhältnismässige Massnahme (act. 1 S. 6), nennt jedoch keinen konkreten Betrag, den sie als Kaution anbieten würde. Sie schlägt weder andere Ersatzmassnahmen vor, noch würden solche in Betracht kommen. Demnach erweist sich die Beschwerde auch insoweit als unbegründet.</w:t>
      </w:r>
    </w:p>
    <w:p>
      <w:r>
        <w:rPr>
          <w:b/>
        </w:rPr>
        <w:t>E. 6.1</w:t>
      </w:r>
    </w:p>
    <w:p>
      <w:r>
        <w:t>Die Beschwerdeführerin macht in der Beschwerde zudem geltend, sie sei nicht hafterstehungsfähig (act. 1 S. 5) und ihre Inhaftierung verstosse ge- gen Art. 47 Abs. 2 IRSG, weshalb eine mildere Massnahme anzuordnen sei (act. 1 S. 6). Nach der Inhaftierung habe sie ärztlich untersucht werden müssen, weil sie unter Bluthochdruckproblemen leide (act. 1 s. 3). Nach Beizug der entsprechenden Akten bzw. Befragung des behandelnden Arz- tes sei zu prüfen, ob sie hafterstehungsfähig sei (act. 1 S. 6).</w:t>
      </w:r>
    </w:p>
    <w:p>
      <w:r>
        <w:rPr>
          <w:b/>
        </w:rPr>
        <w:t>E. 6.2</w:t>
      </w:r>
    </w:p>
    <w:p>
      <w:r>
        <w:t>Vorab ist festzuhalten, dass die Beschwerdeführerin nichts einreicht, was ihre angeblich fehlende Hafterstehungsfähigkeit untermauern würde. Ge- mäss Abklärungen vom 9. August 2012 durch Dr. med. B. ist die Be- schwerdeführerin hafterstehungsfähig, wobei diese dem untersuchenden Arzt zufolge keine Einwände gegen die attestierte Hafterstehungsfähigkeit erhebt (act. 6.1). Bei dieser Sachlage erweist sich die Rüge als unbegrün- det.</w:t>
      </w:r>
    </w:p>
    <w:p>
      <w:r>
        <w:t>- 9 -</w:t>
      </w:r>
    </w:p>
    <w:p>
      <w:r>
        <w:rPr>
          <w:b/>
        </w:rPr>
        <w:t>E. 7</w:t>
      </w:r>
    </w:p>
    <w:p>
      <w:r>
        <w:t>Zusammenfassend ergibt sich, dass vorliegend keine Gründe auszuma- chen sind, welche eine ausnahmsweise Aufhebung der Auslieferungshaft als angezeigt erscheinen lassen. Die Beschwerde erweist sich somit als gesamthaft unbegründet und ist daher abzuweisen.</w:t>
      </w:r>
    </w:p>
    <w:p>
      <w:r>
        <w:rPr>
          <w:b/>
        </w:rPr>
        <w:t>E. 8</w:t>
      </w:r>
    </w:p>
    <w:p>
      <w:r>
        <w:t>Bei diesem Ausgang des Verfahrens wird Beschwerdeführerin kostenpflich- tig (Art. 63 Abs. 1 VwVG i.V.m. Art. 39 Abs. 2 lit. b StBOG). Für die Be- rechnung der Gerichtsgebühren gelangt das BStKR i.V.m. Art. 63 Abs. 5 VwVG zur Anwendung. Unter Berücksichtigung aller Umstände ist die Ge- richtsgebühr vorliegend auf Fr. 3’000.-- festzusetzen.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