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RH.2012.6 vom 29. Mai 2012</w:t>
      </w:r>
    </w:p>
    <w:p>
      <w:r>
        <w:t>Bundesstrafgericht, 2012-05-29, DE</w:t>
      </w:r>
    </w:p>
    <w:p>
      <w:r>
        <w:rPr>
          <w:b/>
        </w:rPr>
        <w:t xml:space="preserve">Quelle: </w:t>
      </w:r>
      <w:r>
        <w:t>https://mcp.opencaselaw.ch/entscheid/bstger_RH.2012.6</w:t>
      </w:r>
    </w:p>
    <w:p>
      <w:r>
        <w:t>FR: TPF RH.2012.6 du 29 mai 2012</w:t>
      </w:r>
    </w:p>
    <w:p>
      <w:r>
        <w:t>IT: TPF RH.2012.6 del 29 maggio 2012</w:t>
      </w:r>
    </w:p>
    <w:p>
      <w:pPr>
        <w:pStyle w:val="Heading2"/>
      </w:pPr>
      <w:r>
        <w:t>Regeste</w:t>
      </w:r>
    </w:p>
    <w:p>
      <w:r>
        <w:t>Auslieferung an Serbien. Beschwerde gegen Auslieferungshaftbefehl (Art. 48 Abs. 2 IRSG).</w:t>
      </w:r>
    </w:p>
    <w:p>
      <w:pPr>
        <w:pStyle w:val="Heading2"/>
      </w:pPr>
      <w:r>
        <w:t>Erwägungen</w:t>
      </w:r>
    </w:p>
    <w:p>
      <w:r>
        <w:rPr>
          <w:b/>
        </w:rPr>
        <w:t>E. 1</w:t>
      </w:r>
    </w:p>
    <w:p>
      <w:r>
        <w:t>Für den Auslieferungsverkehr und die vorläufige Auslieferungshaft zwi- schen der Schweiz und Serbien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ausschliesslich das Recht des ersuchten Staa- tes Anwendung (Art. 22 EAUe), vorliegend also das IRSG und die Verord- nung vom 24. Februar 1982 über internationale Rechtshilfe in Strafsachen (IRSV; SR 351.11). Das innerstaatliche Recht gilt nach dem Günstigkeits- prinzip auch dann, wenn dieses geringere Anforderungen an die Rechtshilfe stellt (BGE 136 IV 82, E. 3.1; 129 II 462 E. 1.1 S. 464, m.w.H.). Vorbehalten bleibt die Wahrung der Menschenrechte (BGE 135 IV 212 E. 2.3; 123 II 595 E. 7c).</w:t>
      </w:r>
    </w:p>
    <w:p>
      <w:r>
        <w:t>- 4 -</w:t>
      </w:r>
    </w:p>
    <w:p>
      <w:r>
        <w:rPr>
          <w:b/>
        </w:rPr>
        <w:t>E. 2</w:t>
      </w:r>
    </w:p>
    <w:p>
      <w:r>
        <w:t>Gegen den Auslieferungshaftbefehl kann innert zehn Tagen seit der schrift- lichen Eröffnung des Entscheids bei der Beschwerdekammer des Bundes- strafgerichts Beschwerde geführt werden (Art. 48 Abs. 2 IRSG i.V.m. Art. 47 IRSG; Art. 19 Abs. 1 des Organisationsreglements für das Bundes- strafgericht [BStGerOR] i.V.m. Art. 37 Abs. 2 lit. a des Bundesgesetzes über die Organisation der Strafbehörden des Bundes [StBOG; SR 173.71]). Der Auslieferungshaftbefehl vom 19. April 2012 wurde dem Beschwerde- führer am 25. April 2012 zugestellt (act. 3.8). Die Beschwerde vom</w:t>
      </w:r>
    </w:p>
    <w:p>
      <w:r>
        <w:rPr>
          <w:b/>
        </w:rPr>
        <w:t>E. 7</w:t>
      </w:r>
    </w:p>
    <w:p>
      <w:r>
        <w:t>Mai 2012 wurde fristgerecht eingereicht, weshalb darauf einzutreten ist.</w:t>
      </w:r>
    </w:p>
    <w:p>
      <w:r>
        <w:t>3. Die Inhaftierung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 genannten Ali- bibeweis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(vgl. LAURENT MOREILLON/MICHEL DUPUIS/MIRIAM MAZOV, La pratique judiciaire du Tribunal pénal fédéral, in Journal des Tribunaux 2008 IV 66 Nr. 322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E. 2.2 und 2.3; 111 IV 108 E. 2).</w:t>
      </w:r>
    </w:p>
    <w:p>
      <w:r>
        <w:t>- 5 -</w:t>
      </w:r>
    </w:p>
    <w:p>
      <w:r>
        <w:t>4.</w:t>
      </w:r>
    </w:p>
    <w:p>
      <w:r>
        <w:t>4.1 Der Beschwerdeführer macht geltend, für die vorgeworfene Tatzeit ein Alibi zu haben. E. habe am 20. April 2012 schriftlich ausgesagt, der Beschwer- deführer habe sich vom 29. bis 31. April 2010 bei ihm an der V.-Strasse in W. aufgehalten. W. befinde sich rund 2,5 Stunden von X. entfernt. Daher sei es dem Beschwerdeführer nicht möglich gewesen, unbemerkt nach X. zu fahren und die ihm vorgeworfene Tat zu begehen. Es sei somit klar nachgewiesen, dass der Beschwerdeführer zur Zeit der Tat nicht am Tatort war und daher sei vom Erlass des Auslieferungshaftbefehls abzusehen und er sei auf freien Fuss zu setzen (act. 1, Lit. B, Ziff. 2 ff.; act. 5, Ziff. 10 ff.). Zudem beruhe die Anschuldigung gegen den Beschwerdeführer alleine auf der Aussage von D. Dieser habe jedoch zu Protokoll gegeben, zur Aussage gezwungen worden zu sein. Er habe ausgesagt, physisch und psychisch malträtiert worden zu sein. Der Tatverdacht gegen den Beschwerdeführer könne daher nicht erhärtet werden. Die serbischen Behörden würden nicht mit rechtsstaatlichen Mitteln agieren. Bei einer Auslieferung an Serbien drohe dem Beschwerdeführer dasselbe Schicksal, weshalb eine solche ge- stützt auf Art. 37 Abs. 3 IRSG abgelehnt werden müsse (act. 5, Ziff. 14 ff.).</w:t>
      </w:r>
    </w:p>
    <w:p>
      <w:r>
        <w:t>4.2 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IRSG). Im Gegensatz zu Art. 53 IRSG sieht das hier massgebliche EAUe den Ali- bibeweis des Verfolgten als Auslieferungshindernis nicht ausdrücklich vor. Trotz der in Art. 1 EAUe verankerten grundsätzlichen Auslieferungspflicht ist der Möglichkeit eines Alibibeweises jedoch nach der Praxis des Bun- desgerichts auch im Rahmen eines gemäss Staatsvertrag durchgeführten Auslieferungsverfahrens angemessen Rechnung zu tragen (BGE 123 II 279 E. 2b S. 281; 113 Ib 276 E. 3b - c S. 281 ff., je m.w.H.). Den Alibibe- weis kann der Verfolgte allerdings nur mit dem Nachweis führen, dass er zur fraglichen Zeit überhaupt nicht am Tatort war oder dass es sich um ei- nen Irrtum in der Person handelt. Dieser Nachweis ist unverzüglich und ohne Weiterungen zu erbringen (BGE 123 II 279 E. 2b S. 281; 113 Ib 276 E. 3b - c S. 281 ff., je m.w.H.; Entscheid des Bundesstrafgerichts RR.2007.72 vom 29. Mai 2007, E. 5.3; ROBERT ZIMMERMANN , La coopéra- tion judiciaire internationale en matière pénale, 3. Aufl., Bern 2009, S. 625 f. N. 673).</w:t>
      </w:r>
    </w:p>
    <w:p>
      <w:r>
        <w:t>- 6 -</w:t>
      </w:r>
    </w:p>
    <w:p>
      <w:r>
        <w:t>4.3 Die blosse Behauptung von E., wonach der Beschwerdeführer zum fragli- chen Zeitpunkt bei ihm in W. gewesen sei, reicht als Alibi im vorgenannten Sinne nicht aus. Die Glaubwürdigkeit von E., entscheidender Faktor für ein Alibi, kann im Auslieferungsverfahren nicht schlüssig überprüft werden, weshalb auch nicht ausgeschlossen werden kann, dass es sich bei seiner Aussage um eine blosse Gefälligkeitserklärung handelt (vgl. dazu BGE 123 II 279 S. 282 E. 2b). Bei dieser Sachlage bestand für den Beschwerdegeg- ner auch keine Veranlassung, weitere Abklärungen hinsichtlich des angeb- lichen Alibis des Beschwerdeführers vorzunehmen. Die Beschwerde er- weist sich in diesem Punkt als unbegründet.</w:t>
      </w:r>
    </w:p>
    <w:p>
      <w:r>
        <w:t>4.4 Wie supra unter Erwägung 4.2 ausgeführt, rechtfertigt sich die Aufhebung des Auslieferungshaftbefehls nur ausnahmsweise, wenn ohne jeden Zwei- fel und ohne weitere Abklärungen ein Ausschlussgrund bezüglich des Aus- lieferungsersuchens vorliegt. Vorbringen gegen die Auslieferung als solche oder gegen die Begründetheit des Auslieferungsbegehrens sind demge- genüber nicht im Beschwerdeverfahren gegen den Auslieferungshaftbefehl, sondern im eigentlichen Auslieferungsverfahren zu prüfen. Die vom Be- schwerdeführer vorgebrachten Rügen betreffend angeblich ihn belastender durch Polizeigewalt erzwungener Aussage von D. sowie der Gefahr eines unfairen Verfahrens in Serbien lassen bei bloss summarischer Prüfung nicht den Schluss zu, dass die Auslieferung offensichtlich unzulässig ist. Die Beschwerde ist auch in diesem Punkt unbegründet.</w:t>
      </w:r>
    </w:p>
    <w:p>
      <w:r>
        <w:t>5. 5.1 Der Beschwerdeführer bestreitet schliesslich das Vorliegen einer Fluchtge- fahr und die Verhältnismässigkeit. Seine Rechtsvertreterin führt dazu aus, er sei in der Schweiz voll integriert und gehe einer geregelten Erwerbstätig- keit nach. Sodann halte sich der Beschwerdeführer legal in der Schweiz auf und sei im Besitz der Niederlassungsbewilligung C (act. 1, Lit B, Ziff. 9). Es sei sodann befremdlich, dass das von der Republik Serbien am 21. Mai 2010 gestellte Auslieferungsersuchen, welches sich auf den Haftbefehl des Landesgerichts Belgrad vom 6. April 2010 stütze, erst zwei Jahre später durch die zuständige Bundesbehörde geprüft bzw. anhand genommen werde. Die Auslieferungshaft erscheine daher nicht als verhältnismässig.</w:t>
      </w:r>
    </w:p>
    <w:p>
      <w:r>
        <w:t>5.2 Die Aufhebung eines Auslieferungshaftbefehls sowie eine Haftentlassung rechtfertigen sich ausnahmsweise unter anderem dann, wenn der Beschul- digte sich voraussichtlich der Auslieferung nicht entzieht und die Strafun- tersuchung nicht gefährdet (Art. 47 Abs. 1 lit. a IRSG). Die Rechtsprechung ist hinsichtlich der Verneinung von Fluchtgefahr überaus restriktiv und misst</w:t>
      </w:r>
    </w:p>
    <w:p>
      <w:r>
        <w:t>- 7 -</w:t>
      </w:r>
    </w:p>
    <w:p>
      <w:r>
        <w:t>der Erfüllung der staatsvertraglichen Auslieferungspflichten im Vergleich zu den Interessen des Verfolgten ausserordentliches Gewicht bei (vgl. BGE 130 II 306 E. 2 S. 309 ff.; Entscheide des Bundesstrafgerichts RR.2008.61 vom 12. Juni 2008, E. 7; RR.2008.214 vom 16. September 2008 E. 3.2, je m.w.H.). Bei drohenden, hohen Freiheitsstrafen ist eine Fluchtgefahr ge- mäss der Rechtsprechung in der Regel trotz Niederlassungsbewilligung und familiären Bindungen in der Schweiz gegeben. So wurde beispiels- weise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Hintergrund dieser Rechtsprechung bejahte die Beschwerde- kammer des Bundesstrafgerichts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Kindern im Alter von 1½, 3, 8 und 18 Jahren hatte (Ent- scheid des Bundesstrafgerichts BH.2005.8 vom 7. April 2005, E. 2.3) und bei einem Verfolgten, der seit seinem 17. Lebensjahr seit 10 Jahren unun- terbrochen in der Schweiz lebte und seine Freundin wie auch den Freun- deskreis hier hatte (Entscheid des Bundesstrafgerichts BH.2006.4 vom 21. März 2006, E. 2.2.1). Wenn überhaupt, wurde die Haftentlassung eher bei Verfolgten höheren Alters gewährt, d.h. von 65 Jahren (vgl. Urteil des Bundesgerichts 8G.66/2000 vom 5. Dezember 2000, E. 9c) und 68 Jahren (Urteil des Bundesgerichts G.55/1993 vom 22. Oktober 1993; vgl. auch Entscheid des Bundesstrafgerichts BH.2005.8 vom 7. April 2005, E. 2.3).</w:t>
      </w:r>
    </w:p>
    <w:p>
      <w:r>
        <w:t>5.3 Die serbischen Behörden werfen dem Beschwerdeführer vor, an einer Ent- führung beteiligt gewesen zu sein. Er hat bei einer Auslieferung nach Ser- bien und im Falle eines Schuldspruchs mit einer mehrjährigen Freiheitsstra- fe zu rechnen. Das serbische Gesetz droht für die dem Beschwerdeführer zur Last gelegte Tat eine Strafe von zwei bis zehn Jahren Freiheitsstrafe an. Der Beschwerdeführer verfügt gemäss persönlicher Aussage, welche er anlässlich seiner Einvernahme am 17. April 2012 gemacht hat über kein festes Einkommen und ist mit 33 Jahren noch relativ jung (zum Alter als Kriterium bei der Beurteilung der Fluchtgefahr vgl. auch BGE 136 IV 20 S. 23 f. E. 2.2 f.). Vor diesem Hintergrund ist die Gefahr, dass sich der Be- schwerdeführer einer Auslieferung an Serbien durch Flucht entzieht, zu be-</w:t>
      </w:r>
    </w:p>
    <w:p>
      <w:r>
        <w:t>- 8 -</w:t>
      </w:r>
    </w:p>
    <w:p>
      <w:r>
        <w:t>jahen, auch wenn er seit 1992 in der Schweiz lebt und die Niederlassungs- bewilligung besitzt. Der hohen Fluchtgefahr kann auch nicht durch Ersatz- massnahmen begegnet werden.</w:t>
      </w:r>
    </w:p>
    <w:p>
      <w:r>
        <w:t>6. Andere Gründe, welche eine Entlassung aus der Auslieferungshaft recht- fertigen könnten, werden weder geltend gemacht noch sind solche ersicht- lich. Die Beschwerde ist nach dem Gesagten vollumfänglich abzuweisen.</w:t>
      </w:r>
    </w:p>
    <w:p>
      <w:r>
        <w:rPr>
          <w:b/>
        </w:rPr>
        <w:t>E. 7.1</w:t>
      </w:r>
    </w:p>
    <w:p>
      <w:r>
        <w:t>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 sprechung sind Prozessbegehren als aussichtslos anzusehen, wenn die Gewinnaussichten beträchtlich geringer erscheinen als die Verlustgefahren. Dagegen gilt ein Begehren nicht als aussichtslos, wenn sich Gewinnaus- sichten und Verlustgefahren ungefähr die Waage halten oder jene nur we- nig geringer sind als diese (BGE 129 I 129 E. 2.3.1; 128 I 225 E. 2.5.3; 124 I 30 E. 2c).</w:t>
      </w:r>
    </w:p>
    <w:p>
      <w:r>
        <w:rPr>
          <w:b/>
        </w:rPr>
        <w:t>E. 7.2</w:t>
      </w:r>
    </w:p>
    <w:p>
      <w:r>
        <w:t>Ausgehend von den vorgebrachten Rügen erwies sich die Beschwerde als aussichtslos im Sinne von Art. 65 Abs. 1 VwVG. Folglich ist das Begehren des Beschwerdeführers um unentgeltliche Rechtspflege und Verbeiständung bereits aus diesem Grunde abzuweisen. Der vermutungs- weise schwierigen finanziellen Situation kann aber gemäss Art. 5 des Reg- lements des Bundesstrafgerichts vom 31. August 2010 über die Kosten, Gebühren und Entschädigungen in Bundesstrafverfahren (BStKR; SR 173.713.162) i.V.m. Art. 63 Abs. 4bis VwVG mit einer reduzierten Gerichts- gebühr Rechnung getragen werden.</w:t>
      </w:r>
    </w:p>
    <w:p>
      <w:r>
        <w:rPr>
          <w:b/>
        </w:rPr>
        <w:t>E. 7.3</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festzuset- zen.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