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RH.2012.2 vom 29. Mai 2012</w:t>
      </w:r>
    </w:p>
    <w:p>
      <w:r>
        <w:t>Bundesstrafgericht, 2012-05-29, DE</w:t>
      </w:r>
    </w:p>
    <w:p>
      <w:r>
        <w:rPr>
          <w:b/>
        </w:rPr>
        <w:t xml:space="preserve">Quelle: </w:t>
      </w:r>
      <w:r>
        <w:t>https://mcp.opencaselaw.ch/entscheid/bstger_RH.2012.2</w:t>
      </w:r>
    </w:p>
    <w:p>
      <w:r>
        <w:t>FR: TPF RH.2012.2 du 29 mai 2012</w:t>
      </w:r>
    </w:p>
    <w:p>
      <w:r>
        <w:t>IT: TPF RH.2012.2 del 29 maggio 2012</w:t>
      </w:r>
    </w:p>
    <w:p>
      <w:pPr>
        <w:pStyle w:val="Heading2"/>
      </w:pPr>
      <w:r>
        <w:t>Regeste</w:t>
      </w:r>
    </w:p>
    <w:p>
      <w:r>
        <w:t>Auslieferungshaftbefehl (Art. 48 Abs. 2 IRSG); Hafterstehungsfähigkeit (Art. 47 Abs. 2 IRSG).</w:t>
      </w:r>
    </w:p>
    <w:p>
      <w:pPr>
        <w:pStyle w:val="Heading2"/>
      </w:pPr>
      <w:r>
        <w:t>Erwägungen</w:t>
      </w:r>
    </w:p>
    <w:p>
      <w:r>
        <w:rPr>
          <w:b/>
        </w:rPr>
        <w:t>E. 1</w:t>
      </w:r>
    </w:p>
    <w:p>
      <w:r>
        <w:t>Der Beschwerdeführer ist zwischenzeitlich provisorisch aus der Haft ent- lassen worden (vgl. act. 9). Da seinem Begehren, die Auslieferungshaft in Anwendung von Art. 50 Abs. 3 IRSG aufzuheben, stattgegeben wurde, ist damit über die Beschwerde nicht mehr zu entscheiden. Die Vorbringen ge- gen die Auslieferung als solche oder gegen die Begründetheit des Ausliefe- rungsbegehrens sind nicht im vorliegenden Beschwerdeverfahren, sondern im eigentlichen Auslieferungsverfahren zu prüfen (vgl. LAURENT MOREIL- LON/MICHEL DUPUIS/MIRIAM MAZOU , La pratique judiciaire du Tribunal pénal fédéral, in Journal des Tribunaux 2008 IV, S. 66 ff. Nr. 322 m.w.H. auf die Rechtsprechung).</w:t>
      </w:r>
    </w:p>
    <w:p>
      <w:r>
        <w:t>Das Beschwerdeverfahren RH.2012.2 ist daher als gegenstandslos vom Geschäftsverzeichnis abzuschreiben (WEISSENBERGER in WALD- MANN/WEISSENBERGER [Hrsg.], Praxiskommentar zum Bundesgesetz über das Verwaltungsverfahren, Zürich/Basel/Genf 2009, Art. 61 N 4; Urteile des Bundesgerichts 1C_122/2008 vom 30. Mai 2008, E. 1; 1A.240/2006 vom</w:t>
      </w:r>
    </w:p>
    <w:p>
      <w:r>
        <w:t>- 4 -</w:t>
      </w:r>
    </w:p>
    <w:p>
      <w:r>
        <w:t>11. September 2007; Entscheid des Bundesstrafgerichts RR.2009.123 vom 18. Dezember 2009, E. 1).</w:t>
      </w:r>
    </w:p>
    <w:p>
      <w:r>
        <w:rPr>
          <w:b/>
        </w:rPr>
        <w:t>E. 2</w:t>
      </w:r>
    </w:p>
    <w:p>
      <w:r>
        <w:t>Nach konstanter Praxis gelangt im Beschwerdeverfahren vor dem Bundes- strafgericht für den Entscheid über die Kosten- und Entschädigungsfolgen bei Gegenstandslosigkeit Art. 72 des Bundesgesetzes vom 4. Dezember 1947 über den Bundeszivilprozess (BZP; SR 273) sinngemäss zur Anwen- dung (Entscheide des Bundesstrafgerichts RR.2007.91 vom 4. September 2007; RR.2008.133 vom 3. September 2008; RR.2008.173 vom 20. April 2009). Gemäss Art. 72 BZP entscheidet das Gericht mit summarischer Be- gründung über die Prozesskosten aufgrund der Sachlage vor Eintritt des Erledigungsgrundes. Bei der Beurteilung der Kosten- und Entschädigungs- folge ist somit in erster Linie auf den mutmasslichen Ausgang des Prozes- ses abzustellen. Lässt sich dieser im konkreten Fall nicht feststellen, so sind allgemeine prozessrechtliche Kriterien heranzuziehen: Danach wird jene Partei kosten- und entschädigungspflichtig, welche das gegenstands- los gewordenen Verfahren veranlasst hat oder in welcher die Gründe ein- getreten sind, welche dazu geführt haben, dass der Prozess gegenstands- los geworden ist (vgl. Urteil des Bundesgerichts 1.B_68/2009 vom 8. Mai 2009, E. 4). Die Regelung bezweckt, denjenigen, welcher in guten Treuen Beschwerde erhoben hat, nicht im Kostenpunkt dafür zu bestrafen, dass die Beschwerde infolge nachträglicher Änderung der Umstände abzu- schreiben ist, ohne dass ihm dies anzulasten wäre. Bei der summarischen Prüfung des mutmasslichen Prozessausgangs ist nicht auf alle Rügen ein- zeln und detailliert einzugehen (BGE 118 Ia 488 E. 4a S. 494 f.).</w:t>
      </w:r>
    </w:p>
    <w:p>
      <w:r>
        <w:rPr>
          <w:b/>
        </w:rPr>
        <w:t>E. 3.1</w:t>
      </w:r>
    </w:p>
    <w:p>
      <w:r>
        <w:t>Für den Auslieferungsverkehr und die vorläufige Auslieferungshaft zwi- schen der Schweiz und der Niederlande sind primär das Europäische Aus- lieferungsübereinkommen vom 13. Dezember 1957 (EAUe; SR 0.353.1), das zu diesem Übereinkommen am 15. Oktober 1975 ergangene erste Zu- satzprotokoll (1. ZP; SR 0.353.11), das am 17. März 1978 ergangene zwei- te Zusatzprotokoll (2. ZP; SR 0.353.12) sowie die Bestimmungen der Art. 59 ff. des Übereinkommens vom 19. Juni 1990 zur Durchführung des Übereinkommens von Schengen vom 14. Juni 1985 (Schengener Durch- führungsübereinkommen, SDÜ; ABl. L 239 vom 22. September 2000, S. 19 – 62) zwecks Ergänzung und Erleichterung der Anwendung des EAUe massgebend.</w:t>
      </w:r>
    </w:p>
    <w:p>
      <w:r>
        <w:t>- 5 -</w:t>
      </w:r>
    </w:p>
    <w:p>
      <w:r>
        <w:rPr>
          <w:b/>
        </w:rPr>
        <w:t>E. 3.2</w:t>
      </w:r>
    </w:p>
    <w:p>
      <w:r>
        <w:t>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1980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IV 82 E. 3.1; 129 II 462 E. 1.1 S. 464; 122 Ii 140 E. 2 S. 142). Vorbehalten bleibt die Wahrung der Menschenrechte (BGE 135 IV 212 E. 2.3; 123 II 595 E. 7c).</w:t>
      </w:r>
    </w:p>
    <w:p>
      <w:r>
        <w:rPr>
          <w:b/>
        </w:rPr>
        <w:t>E. 4</w:t>
      </w:r>
    </w:p>
    <w:p>
      <w:r>
        <w:t>Die Verhaftung des Beschuldigten während des ganzen Auslieferungsver- fahrens bildet die Regel (BGE 130 II 306 E. 2.2 S. 309 m.w.H.). Eine Auf- hebung des Auslieferungshaftbefehls sowie eine Haftentlassung rechtferti- gen sich nur ausnahmsweise, wenn der Beschuldigte sich voraussichtlich der Auslieferung nicht entzieht und die Strafuntersuchung nicht gefährdet (Art. 47 Abs. 1 lit. a IRSG), wenn er den so genannten Alibibeweis erbrin- gen und ohne Verzug nachweisen kann, dass er zur Zeit der Tat nicht am Tatort war (Art. 47 Abs. 1 lit. b IRSG), wenn er nicht hafterstehungsfähig ist oder andere Gründe – z. B. enge und insbesondere familiäre Beziehungen zur Schweiz – vorliegen, welche eine weniger einschneidende Massnahme rechtfertigen (Art. 47 Abs. 2 IRSG; Urteil des Bundesgerichts 1A.170/1997 vom 10. Juni 1997, E. 3a, veröffentlicht in Pra 2000 Nr. 94 S. 569), oder wenn sich die Auslieferung als offensichtlich unzulässig erweist (Art. 51 Abs. 1 IRSG). Diese Aufzählung ist nicht abschliessend (BGE 130 II 306 E. 2.1 S. 309; 117 IV 359 E. 2a S. 361). Offensichtlich unzulässig kann ein Auslieferungsersuchen sein, wenn ohne jeden Zweifel und ohne weitere Abklärungen ein Ausschlussgrund vorliegt (vgl. BGE 111 IV 108 E. 3a S. 110). Im Übrigen sind Vorbringen gegen die Auslieferung als solche oder gegen die Begründetheit des Auslieferungsbegehrens nicht im vorliegen- den Beschwerdeverfahren, sondern im eigentlichen Auslieferungsverfahren zu prüfen (vgl. LAURENT MOREILLON/MICHEL DUPUIS/MIRIAM MAZOU , La pra- tique judiciaire du Tribunal pénal fédéral, in Journal des Tribunaux 2008 IV, S. 66 ff.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w:t>
      </w:r>
    </w:p>
    <w:p>
      <w:r>
        <w:t>- 6 -</w:t>
      </w:r>
    </w:p>
    <w:p>
      <w:r>
        <w:t>sung aus einer solchen (vgl. BGE 130 II 306 E. 2.2 S. 309 f.; 111 IV 108 E. 2 S. 110).</w:t>
      </w:r>
    </w:p>
    <w:p>
      <w:r>
        <w:rPr>
          <w:b/>
        </w:rPr>
        <w:t>E. 5.1</w:t>
      </w:r>
    </w:p>
    <w:p>
      <w:r>
        <w:t>Der Beschwerdeführer wendete gegen die Auslieferungshaft unter ande- rem ein, er sei nicht hafterstehungsfähig. Er habe Lungenkrebs und müsse sich dringend einer weiteren Chemotherapie unterziehen, was im Untersu- chungsgefängnis Schaffhausen selbstredend nicht möglich sei. Er sei in ei- ne geeignete Krankenanstalt zu bringen. Zudem leide er unter der Krank- heit Tuberkulose C. Die seit einiger Zeit vermehrt wieder auftretenden Hus- tenanfälle würden auf das Wiederaufflammen der TBC-Krankheit im Lun- genbereich hinweisen. Nicht nur er selbst, sondern auch dem Gefängnis- personal sei ein weiterer Verbleib in der Haftanstalt nicht zuzumuten. Aus diesen Gründen sei die angeordnete Haft aufzuheben oder zumindest durch eine weniger einschneidende Massnahme i.S.v. Art. 47 Abs. 2 IRSG zu ersetzen.</w:t>
      </w:r>
    </w:p>
    <w:p>
      <w:r>
        <w:rPr>
          <w:b/>
        </w:rPr>
        <w:t>E. 5.2</w:t>
      </w:r>
    </w:p>
    <w:p>
      <w:r>
        <w:t>Seit der Anerkennung der „Persönlichen Freiheit“ als ungeschriebenes Grundrecht der alten Bundesverfassung im Jahre 1963 hat das Bundesge- richt in reicher Rechtsprechung zum Teil detaillierte grundrechtliche Mini- malanforderungen an die Ausgestaltung der Haftbedingungen in der Straf- haft, der Untersuchungshaft und der ausländerrechtlichen Administrativhaft entwickelt (MÜLLER/SCHEFFER, Grundrechte in der Schweiz, 4. Aufl., Bern 2008, S. 114). Der Begriff „Untersuchungshaft“ ist hier nicht im technischen Sinne zu verstehen; er umfasst alle Arten der strafprozessualen Inhaftie- rung, also auch etwa die Auslieferungshaft (MÜLLER/SCHEFFER, a.a.O., S. 114, FN 2).</w:t>
      </w:r>
    </w:p>
    <w:p>
      <w:r>
        <w:t>Die Garantie der persönlichen Freiheit nach Art. 10 Abs. 2 BV gibt den Un- tersuchungsgefangenen Anspruch auf eine ausreichende (spezial-) ärztli- che Betreuung (Urteil des Bundesgerichts 1B_295/2008 vom 2. Dezem- ber 2008, E. 3.3). Das Bundesgericht anerkennt grundsätzlich keinen An- spruch auf freie Arztwahl von Inhaftierten (BGE 106 Ia 277 E. 7b S. 292; 102 Ia E.2c S. 305 f.). Die Gefangenen müssen jedoch von einem anderen Arzt als dem Gefängnisarzt untersucht oder behandelt werden, wenn das Vertrauensverhältnis zum Gefängnisarzt gestört ist oder wenn medizinisch eine spezialärztliche Betreuung angezeigt ist (vgl. BGE 123 I 221 E. 2b S. 235; 105 Ia 379 E. 4 S. 382; 102 Ia 302 E. 2c S. 306). In diesem Zu- sammenhang legt Art. 47 Abs. 2 IRSG fest, dass das BJ bei Hafterste- hungsunfähigkeit anstelle der Haft andere Massnahmen zur Sicherung des Verfolgten anordnen kann. Die Schweizerische Strafprozessordnung sieht</w:t>
      </w:r>
    </w:p>
    <w:p>
      <w:r>
        <w:t>- 7 -</w:t>
      </w:r>
    </w:p>
    <w:p>
      <w:r>
        <w:t>diesbezüglich vor, dass die zuständige kantonale Behörde die inhaftierte Person in ein Spital oder eine psychiatrische Klinik einweisen kann, wenn dies aus medizinischen Gründen angezeigt ist (Art. 234 Abs. 2 StPO).</w:t>
      </w:r>
    </w:p>
    <w:p>
      <w:r>
        <w:rPr>
          <w:b/>
        </w:rPr>
        <w:t>E. 5.3</w:t>
      </w:r>
    </w:p>
    <w:p>
      <w:r>
        <w:t>Das BJ beauftragte die Staatsanwaltschaft Schaffhausen, den Beschwerwerdeführer amtsärztlich untersuchen zu lassen (act. 3.11). Dr. B. teilte mit Schreiben vom 24. Februar 2012 mit, der Beschwerdeführer sei zurzeit nicht ansteckend und seine Inhaftierung stelle keine akute Gefahr für seinen Gesundheitszustand dar. Zudem werde der Gesundheitszustand wöchentlich neu überprüft (act. 3.12). Erst mit Schreiben vom 14. März 2012 führte Dr. B. aus, die weiteren Abklärungen hätten ergeben, dass der Beschwerdeführer an einer sehr schwerwiegenden und fortschreitenden Krankheit leide, welche einer unverzüglichen Therapie bedürfe. Diese kön- ne im Gefängnis Schaffhausen aber nicht durchgeführt werden. Der Gesundheitszustand des Beschwerdeführers habe sich während seiner Beobachtungszeit erheblich verschlechtert und ohne eine Therapie, welche möglichst in den nächsten Tagen eingeleitet werden sollte, läge eine le- bensgefährliche Bedrohung vor. Einen weiteren Gefängnisaufenthalt könne er nicht weiter verantworten, der Beschwerdeführer sei aus dem Gefängnis Schaffhausen zu entlassen (vgl. act. 7). Daraufhin verfügte das BJ – ge- stützt auf einer Vereinbarung bezüglich Ersatzmassnahmen – die sofortige provisorische Haftentlassung des Beschwerdeführers (vgl. supra Lit. C; act. 9).</w:t>
      </w:r>
    </w:p>
    <w:p>
      <w:r>
        <w:rPr>
          <w:b/>
        </w:rPr>
        <w:t>E. 5.4</w:t>
      </w:r>
    </w:p>
    <w:p>
      <w:r>
        <w:t>Der Beschwerdeführer war nach Einschätzung von Dr. B. somit zur Zeit der Beschwerdeerhebung vom 22. Februar 2012 hafterstehungsfähig. Die Aus- lieferungshaft war demnach zu diesem Zeitpunkt gerechtfertigt gewesen.</w:t>
      </w:r>
    </w:p>
    <w:p>
      <w:r>
        <w:rPr>
          <w:b/>
        </w:rPr>
        <w:t>E. 5.5</w:t>
      </w:r>
    </w:p>
    <w:p>
      <w:r>
        <w:t>Der Beschwerdeführer brachte ferner vor, die Vorwürfe im Haftbefehl vom 11. bzw. 17. März 2010 seien falsch, er habe nichts mit der als Delinquen- ten geschilderten Person zu tun und die Sachverhaltsschilderung entbehre jeglicher Wahrheit und sei viel zu allgemein gehalten.</w:t>
      </w:r>
    </w:p>
    <w:p>
      <w:r>
        <w:t>Wie supra unter Erwägung 4 ausgeführt, rechtfertigt sich die Aufhebung des Auslieferungshaftbefehls nur ausnahmsweise, wenn ohne jeden Zwei- fel und ohne weitere Abklärungen ein Ausschlussgrund bezüglich des Aus- lieferungsersuchens vorliegt. Vorbringen gegen die Auslieferung als solche oder gegen die Begründetheit des Auslieferungsbegehrens sind demge- genüber nicht im Beschwerdeverfahren gegen den Auslieferungshaftbefehl, sondern im eigentlichen Auslieferungsverfahren zu prüfen. Die vom Be- schwerdeführer vorgebrachten Rügen betreffend Sachverhaltsdarstellung der ersuchenden Behörde hätten bei einer summarischen Prüfung jedoch</w:t>
      </w:r>
    </w:p>
    <w:p>
      <w:r>
        <w:t>- 8 -</w:t>
      </w:r>
    </w:p>
    <w:p>
      <w:r>
        <w:t>nicht den Schluss zugelassen, dass die Auslieferung offensichtlich unzu- lässig war, zumal der Beschwerdeführer bestätigte, die im Auslieferungs- haftbefehl genannte Person zu sein (act. 3.5). Die Beschwerde hätte sich auch in diesem Punkt als unbegründet erwiesen und wäre daher mutmass- lich abzuweisen gewesen.</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sie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 Zeit, zu der das Gesuch um unentgelt- liche Rechtspflege gestellt wird (BGE 129 I 129 E. 2.3.1; 128 I 225 E. 2.5.3; 124 I 304 E. 2c).</w:t>
      </w:r>
    </w:p>
    <w:p>
      <w:r>
        <w:rPr>
          <w:b/>
        </w:rPr>
        <w:t>E. 6.2</w:t>
      </w:r>
    </w:p>
    <w:p>
      <w:r>
        <w:t>Die Auslieferungshaft des Beschwerdeführers war zum Zeitpunkt der Be- schwerdeeinreichung offensichtlich zulässig, weshalb seine Begehren als aussichtslos im vorgenannten Sinne anzusehen gewesen wären. Das Ge- such um unentgeltliche Rechtspflege und Verbeiständung ist somit abzu- weisen.</w:t>
      </w:r>
    </w:p>
    <w:p>
      <w:r>
        <w:rPr>
          <w:b/>
        </w:rPr>
        <w:t>E. 6.3</w:t>
      </w:r>
    </w:p>
    <w:p>
      <w:r>
        <w:t>Nach dem Gesagten rechtfertigt es sich, dem Beschwerdeführer in analo- ger Anwendung von Art. 72 BZP die Kosten des gegenstandslos geworde- nen Beschwerdeverfahrens aufzuerlegen (vgl. Art. 63 VwVG i.V.m. Art. 39 Abs. 2 lit. b StBOG und Art. 22 Abs. 3 des Reglements des Bundesstrafge- richts vom 31. August 2010 über die Kosten, Gebühren und Entschädigun- gen in Bundesstrafverfahren [BStKR; SR 173.713.163]). Aus denselben Gründen entfällt eine Parteientschädigung. Unter Berücksichtigung aller Umstände rechtfertigt sich vorliegend eine Gerichtsgebühr von Fr. 300.-- (Art.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