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RH.2012.17 vom 28. Dezember 2012</w:t>
      </w:r>
    </w:p>
    <w:p>
      <w:r>
        <w:t>Bundesstrafgericht, 2012-12-28, DE</w:t>
      </w:r>
    </w:p>
    <w:p>
      <w:r>
        <w:rPr>
          <w:b/>
        </w:rPr>
        <w:t xml:space="preserve">Quelle: </w:t>
      </w:r>
      <w:r>
        <w:t>https://mcp.opencaselaw.ch/entscheid/bstger_RH.2012.17</w:t>
      </w:r>
    </w:p>
    <w:p>
      <w:r>
        <w:t>FR: TPF RH.2012.17 du 28 décembre 2012</w:t>
      </w:r>
    </w:p>
    <w:p>
      <w:r>
        <w:t>IT: TPF RH.2012.17 del 28 dicembre 2012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Auslieferungshaft zwischen der Schweiz und Deutschland sind primär das Europäische Auslieferungsüber- einkommen vom 13. Dezember 1957 (EAUe, SR 0.353.1), das hierzu er- gangene zweite Zusatzprotokoll vom 17. März 1978 (2. ZP; SR 0.353.12), welchem beide Staaten beigetreten sind, sowie der Vertrag vom 13. No- vember 1969 zwischen der Schweizerischen Eidgenossenschaft und der Bundesrepublik Deutschland über die Ergänzung des EAUe und die Er- leichterung seiner Anwendung (Zusatzvertrag; SR 0.353.913.61) massge- bend. Ausserdem gelangen die Bestimmungen der Art. 59 ff. des Überein- kommens vom 19. Juni 1990 zur Durchführung des Übereinkommens von Schengen vom 14. Juni 1985 (Schengener Durchführungsübereinkommen, SDÜ; Abl. L 239 vom 22. September 2000, S. 19-62)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(Rechtshilfegesetz, IRSG; SR 351.1) und die Verordnung vom 24. Februar 1982 über internationale Rechtshilfe in Strafsachen (Rechtshilfeverord- nung, IRSV; SR 351.11). Dies gilt auch im Verhältnis zum SDÜ (Art. 1 Abs. 1 lit. a IRSG). Das innerstaatliche Recht gelangt nach dem Günstig- keitsprinzip auch dann zur Anwendung, wenn dieses geringere Anforde- rungen an die Auslieferung stellt (BGE 137 IV 33 E. 2.2.2 S. 40 f.; BGE 136 IV 82 E. 3.1; BGE 122 II 140 E. 2 S. 142). Vorbehalten bleibt die Wahrung der Menschenrechte (BGE 135 IV 212 E. 2.3; BGE 123 II 595 E. 7c S. 616).</w:t>
      </w:r>
    </w:p>
    <w:p>
      <w:r>
        <w:rPr>
          <w:b/>
        </w:rPr>
        <w:t>E. 2</w:t>
      </w:r>
    </w:p>
    <w:p>
      <w:r>
        <w:t>Gegen den Auslieferungshaftbefehl des Bundesamtes kann der Verfolgte innert zehn Tagen ab der schriftlichen Eröffnung Beschwerde bei der Be- schwerdekammer des Bundesstrafgerichts führen (Art. 48 Abs. 2 IRSG i.V.m. Art. 47 IRSG; Art. 19 Abs. 1 des Organisationsreglements für das Bundesstrafgericht [BStGerOR] i.V.m. Art. 37 Abs. 2 lit. a des Bundesge- setzes über die Organisation der Strafbehörden des Bundes [StBOG; SR 173.71]). Der vorliegend angefochtene Auslieferungshaftbefehl wurde dem Beschwerdeführer am 4. Dezember 2012 eröffnet. Seine vom 14. De- zember 2012 datierte und am 17. Dezember 2012 eingegangene Be-</w:t>
      </w:r>
    </w:p>
    <w:p>
      <w:r>
        <w:t>- 4 -</w:t>
      </w:r>
    </w:p>
    <w:p>
      <w:r>
        <w:t>schwerde ist entsprechend fristgerecht erfolgt. Auf die Beschwerde ist so- mit einzutreten.</w:t>
      </w:r>
    </w:p>
    <w:p>
      <w:r>
        <w:rPr>
          <w:b/>
        </w:rPr>
        <w:t>E. 3</w:t>
      </w:r>
    </w:p>
    <w:p>
      <w:r>
        <w:t>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(vgl. BGE 132 II 81 E. 1.4; 130 II 337 E. 1.4, je m.w.H.; Entscheide des Bundesstrafgerichts RH.2012.10 vom 7. September 2012, E. 3; RH.2012.9 vom 23. August 2012, E. 3, RR.2007.34 vom 29. März 2007, E. 3).</w:t>
      </w:r>
    </w:p>
    <w:p>
      <w:r>
        <w:rPr>
          <w:b/>
        </w:rPr>
        <w:t>E. 4</w:t>
      </w:r>
    </w:p>
    <w:p>
      <w:r>
        <w:t>Der replicando vorgebrachte prozessuale Antrag, es sei der Beschwerde- gegner anzuweisen (act. 4 S. 2), eine materiell begründete Beschwerde- antwort nachzureichen, ist ohne Verzug abzuweisen. Der Beschwerdefüh- rer ist der Ansicht, der Beschwerdegegner habe sich in seiner Beschwer- deantwort nicht mit den Vorbringen der Beschwerde auseinandergesetzt und daher das Recht auf Überprüfung der Rechtmässigkeit der Freiheits- entziehung durch ein Gericht (EMRK 5 (4)) sowie der Anspruch auf Gewäh- rung des rechtlichen Gehörs (EMRK 6 (1)) verletzt (act. 4 S. 16). Abgese- hen davon, dass sich der Beschwerdegegner zur Beschwerde und insbe- sondere zur Fluchtgefahr geäussert hat, besteht ohnehin keine Verpflich- tung der Vernehmlassungsadressaten zur Stellungnahme (SEETHA- LER/PLÜSS, in Praxiskommentar zum Bundesgesetz über das Verwaltungs- verfahren, Zürich/Basel/Genf 2009, N 24 zu Art. 57). So steht es dem Be- schwerdegegner auch frei, auf Vernehmlassung zu verzichten oder sich nur zu einzelnen Punkten der Beschwerde zu äussern. Das Verhalten des Be- schwerdegegners ist daher nicht zu beanstanden.</w:t>
      </w:r>
    </w:p>
    <w:p>
      <w:r>
        <w:rPr>
          <w:b/>
        </w:rPr>
        <w:t>E. 5</w:t>
      </w:r>
    </w:p>
    <w:p>
      <w:r>
        <w:t>Die Verhaftung des Beschuldigten während des ganzen Auslieferungsver- fahrens bildet die Regel (BGE 136 IV 20 E. 2.2 S. 23; BGE 130 II 306 E. 2; BGE 117 IV 359 E. 2a). Eine Aufhebung des Auslieferungshaftbefehls so- 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 che eine weniger einschneidende Massnahme rechtfertigen (Art. 47 Abs. 2 IRSG), oder wenn sich die Auslieferung als offensichtlich unzulässig er- weist (Art. 51 Abs. 1 IRSG). Diese Aufzählung ist nicht abschliessend (BGE 130 II 306 E. 2.1; BGE 117 IV 359 E. 2a; vgl. zum Ganzen u.a. auch die</w:t>
      </w:r>
    </w:p>
    <w:p>
      <w:r>
        <w:t>- 5 -</w:t>
      </w:r>
    </w:p>
    <w:p>
      <w:r>
        <w:t>Entscheide des Bundesstrafgerichts RH.2012.11 vom 3. Oktober 2012, E. 2.1; RH.2012.10 vom 7. September 2012, E. 4). Vorbringen gegen die Auslieferung als solche oder gegen die Begründetheit des Auslieferungs- begehrens sind hingegen nicht im Beschwerdeverfahren gegen den Haft- befehl, sondern erst im eigentlichen Auslieferungsverfahren zu prüfen (vgl. MOREILLON/DUPUIS/MAZOV, La pratique judiciaire du Tribunal pénal fédéral, in Journal des Tribunaux 2009 IV 111 Nr. 190 und 2008 IV 66 Nr. 322 je mit Hinweisen auf die Rechtsprechung). Diese Regelung betreffend die nur ausnahmsweise zu gewährende Haftentlassung soll es der Schweiz er- möglichen, ihren staatsvertraglichen Auslieferungspflichten nachzukom- men. Die Haftentlassung im Auslieferungsverfahren ist deshalb an strenge- re Voraussetzungen gebunden als der Verzicht auf die gewöhnliche Unter- suchungshaft in einem Strafverfahren oder die Entlassung aus einer sol- chen (vgl. BGE 130 II 306 E. 2.2 und 2.3; BGE 111 IV 108 E. 2).</w:t>
      </w:r>
    </w:p>
    <w:p>
      <w:r>
        <w:rPr>
          <w:b/>
        </w:rPr>
        <w:t>E. 6.1</w:t>
      </w:r>
    </w:p>
    <w:p>
      <w:r>
        <w:t>Der Beschwerdeführer bringt zunächst vor, das Auslieferungsersuchen sei offensichtlich aussichtslos. Gegen ihn würden im deutschen Strafverfahren keine konkreten Beweise vorliegen. Er sei in den letzten knapp drei Jahren weder vorgeladen noch angehört worden. Er habe nie Gelegenheit erhalten auszusagen. Erst seit der Beschuldigte C. in Untersuchungshaft sitze, be- schuldige er den Beschwerdeführer, ohne den geringsten Beweis für seine offensichtlichen Schutzbehauptungen zu offerieren. Die Augsburger Staatsanwaltschaft habe die Verhaftung des Beschwerdeführers vor Weih- nachten eingeleitet, was ein notorisches und offensichtliches Druckmittel sei, um Zugeständnisse zu erzwingen. Der Sachverhalt im Haftbefehl sei ausserdem lückenhaft, aktenwidrig und irreführend. Insbesondere seien die Ausführungen bezüglich der Rechnungsstellungen irreführend und so lü- ckenhaft, dass sie als offensichtlich falsch bezeichnet werden müssten. Die interne Organisation bei der B. AG &amp; CO. KG habe es gar nicht erlaubt, dass die Rechnungen vom Beschwerdeführer erstellt worden und direkt an ihn zugestellt worden seien. Unzutreffend sei auch, dass der Beschwerde- führer elektronische Transaktionen auf den Konten von C. vorgenommen habe, da dies technisch über einen längeren Zeitraum gar nicht möglich sei (act. 1 S. 3 ff.; act. 4 S. 6 ff.).</w:t>
      </w:r>
    </w:p>
    <w:p>
      <w:r>
        <w:rPr>
          <w:b/>
        </w:rPr>
        <w:t>E. 6.2</w:t>
      </w:r>
    </w:p>
    <w:p>
      <w:r>
        <w:t>Insoweit der Beschwerdeführer Verletzungen von Verfahrensrechten durch die deutschen Strafverfolgungsbehörden geltend zu machen scheint, ist er darauf hinzuweisen, dass derartige Verfahrensrügen nicht im vorliegenden Beschwerdeverfahren, sondern wenn überhaupt im Auslieferungsverfahren zu prüfen sind (vgl. Ziff. 5). Es sei denn, das Auslieferungsersuchen erwei- se sich als offensichtlich unzulässig, weil besonders schwere Verletzungen</w:t>
      </w:r>
    </w:p>
    <w:p>
      <w:r>
        <w:t>- 6 -</w:t>
      </w:r>
    </w:p>
    <w:p>
      <w:r>
        <w:t>des ausländischen Rechts vorliegen würden oder weil das Auslieferungser- suchen als rechtsmissbräuchlich erscheine (Urteil des Bundesgerichtes 1A.15/2002 vom 5. März 2002, E. 3.2; Entscheid des Bundesstrafgerichts RR.2008.257 vom 4. Dezember 2008, E. 3.2). In concreto liegen keine An- haltspunkte dafür vor, welche das Auslieferungsersuchen als offensichtlich unzulässig erscheinen lassen. Insbesondere bestehen keine Anzeichen da- für, dass die deutschen Behörden den Beschwerdeführer mittels Beugehaft dazu zwingen wollen, gegen C. belastende Aussagen zu machen. Auch der Umstand, dass die im Haftbefehl gegen den Beschwerdeführer erhobenen Vorwürfe (einstweilen) nur auf Aussagen von C. beruhen sollen, vermag eine Aufhebung des Auslieferungshaftbefehls nicht zu rechtfertigen. Ferner zielen die Rügen und die damit verbundenen Ausführungen, wonach der Haftbefehl lückenhaft, aktenwidrig und irreführend sei, einzig darauf ab, die Unschuld des Beschwerdeführers darzulegen. Bestreitungen des Sachver- halts vermögen – wie bereits unter Ziff. 5 dargelegt – aber gerade keinen Haftentlassungsgrund zu begründen. Im Auslieferungshaftverfahren ist mit Ausnahme des hier nicht relevanten Alibibeweises auf die Beweissituation im die Auslieferung ersuchenden Staat nicht einzugehen. Insofern erweisen sich die umfangreichen entsprechenden Ausführungen des Beschwerde- führers als für das vorliegende Verfahren irrelevant.</w:t>
      </w:r>
    </w:p>
    <w:p>
      <w:r>
        <w:rPr>
          <w:b/>
        </w:rPr>
        <w:t>E. 6.3</w:t>
      </w:r>
    </w:p>
    <w:p>
      <w:r>
        <w:t>Der Beschwerdeführer sieht sodann in der Wahl des Zeitpunktes des Aus- lieferungsverfahrens eine Verletzung des Anspruchs auf ein faires Verfah- ren. Dies vor allem deshalb, weil die Fristen zur Stellungnahme im vorlie- genden Beschwerdeverfahren in die Weihnachtszeit gefallen seien (act. 4 S. 2 f.). Nichts deutet daraufhin, dass die deutschen Behörden das Auslie- ferungsersuchen, welches vom 21. November 2012 datiert, absichtlich so gelegt hätten, damit gegebenenfalls eine Beschwerde genau vor der Weih- nachtszeit zu erheben und der Schriftenwechsel während der Feiertage durchzuführen wäre. Dass der Schriftenwechsel vorliegend zwischen Weihnachten und Neujahr stattfindet, mag für die beteiligten Parteien orga- nisatorisch einen zusätzlichen Aufwand bedeuten, liegt aber in der Natur der Sache, wonach erstens im vorliegenden Verfahren die Fristen während der Feiertage eben gerade nicht stillstehen und zweitens ein Haftbe- schwerdeverfahren mit besonderer Beförderlichkeit zu führen ist. Eine Ver- letzung des Anspruchs auf ein faires Verfahren ist daher nicht auszuma- chen. Schliesslich ist auch der im Übrigen durch nichts belegte Einwand des Beschwerdeführers, die deutschen Behörden würden in Wahrheit Steuerdelikte verfolgen wollen, was sie aber zu verheimlichen versuchten (act. 4 S. 13), im vorliegenden Verfahren nicht zu hören.</w:t>
      </w:r>
    </w:p>
    <w:p>
      <w:r>
        <w:t>- 7 -</w:t>
      </w:r>
    </w:p>
    <w:p>
      <w:r>
        <w:rPr>
          <w:b/>
        </w:rPr>
        <w:t>E. 7.1</w:t>
      </w:r>
    </w:p>
    <w:p>
      <w:r>
        <w:t>Der Beschwerdeführer bestreitet sodann das Vorliegen von Fluchtgefahr. Er habe im Oktober dieses Jahres eine Filiale der D. in Z. eröffnet. Ohne ihn stehe es nun schlecht um das Geschäft und die Angestellten. Nachdem er in Deutschland sein Haus verkauft, seine Familie in die Schweiz geholt, seine Ersparnisse in das Geschäft investiert und den Betrieb eröffnet habe, wolle er das Geschäft zum Laufen bringen. Er habe für sein junges Alter eine erfolgreiche berufliche Karriere gemacht und viel zu verlieren. Eine Fluchtgefahr müsse damit vernünftigerweise ausgeschlossen werden (act. 1 S. 7 ff.; act. 4 S. 9 ff.).</w:t>
      </w:r>
    </w:p>
    <w:p>
      <w:r>
        <w:rPr>
          <w:b/>
        </w:rPr>
        <w:t>E. 7.2</w:t>
      </w:r>
    </w:p>
    <w:p>
      <w:r>
        <w:t>Die Rechtsprechung ist hinsichtlich der Verneinung von Fluchtgefahr selbst bei familiären Bindungen in der Schweiz überaus restriktiv und misst der Erfüllung der staatsvertraglichen Auslieferungspflichten im Vergleich zu den Interessen des Verfolgten ausserordentlich grosses Gewicht bei (vgl. BGE 130 II 306 E. 2 S. 310 ff.; Entscheid des Bundesstrafgerichts RH.2012.10 vom 7. September 2012, E. 7.2, je mit Hinweisen). Bei drohenden, hohen Freiheitsstrafen ist eine Fluchtgefahr gemäss der Rechtsprechung in der Regel trotz Niederlassungsbewilligung und familiären Bindungen in der Schweiz gegeben. So wurde beispielsweise die Möglichkeit einer Verurtei- 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 sen und hierzulande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w:t>
      </w:r>
    </w:p>
    <w:p>
      <w:r>
        <w:t>Der Franchisevertrag zwischen dem Beschwerdeführer und der D. datiert vom 16. Juni 2012. Es ist daher davon auszugehen, dass sich der Be-</w:t>
      </w:r>
    </w:p>
    <w:p>
      <w:r>
        <w:t>- 8 -</w:t>
      </w:r>
    </w:p>
    <w:p>
      <w:r>
        <w:t>schwerdeführer erst seit kurzem in der Schweiz aufhält. Seine Familie soll seinen eigenen Angaben gemäss erst nach dem 26. Oktober 2012 in die Schweiz gezogen sein (act. 1 Rz. 33). In Anbetracht, dass es sich beim 40- jährigen Beschwerdeführer um einen Mann jüngeren Alters handelt, dem im Falle einer Auslieferung nach Deutschland eine mehrjährige Freiheits- strafe droht (vgl. act. 3/4 S. 11), ist unter Berücksichtigung der zitierten Rechtsprechung von einer hohen Fluchtgefahr auszugehen. Ob dereinst nur eine bedingte Strafe ausgesprochen werden wird – wie dies der Be- schwerdeführer geltend macht (act. 4 Rz. 30) – kann letztlich weder durch den Beschwerdeführer noch durch die Beschwerdekammer beurteilt wer- den. Die Schweizer Behörden müssen gegenwärtig davon ausgehen, dass in Deutschland im Falle einer Verurteilung gegen ihn eine langjährige Frei- heitsstrafe ausgesprochen werden wird (act. 3/4 S. 11), weshalb – wie ausgeführt – von einer hohen Fluchtgefahr auszugehen ist. Der Umstand, dass sich der Beschwerdeführer in einem österreichischen Strafverfahren, bei dem es sich um einen Teilaspekt desselben Sachverhaltes gehandelt haben soll, nicht entzogen habe (act. 1 Rz. 34), vermag an der aktuellen Fluchtgefahr nichts zu ändern. Weder ist dem Gericht bekannt, noch wurde es durch den Beschwerdeführer näher ausgeführt, worum es sich beim österreichischen Strafverfahren konkret gehandelt haben soll, insbesonde- re, ob der Beschwerdeführer in jenem Verfahren Beschuldigter war und welche Strafe er zu gewärtigen gehabt hätte, sodass ein Vergleich mit dem vorliegenden deutschen Verfahren von vornherein unbehelflich ist. Der ak- tuellen hohen Fluchtgefahr kann auch nicht durch mildere Ersatzmassnah- men, wie Schriftensperre und Meldepflicht oder eine allfällige (nicht ange- botene) Kaution, begegnet werden.</w:t>
      </w:r>
    </w:p>
    <w:p>
      <w:r>
        <w:t>Ist Fluchtgefahr anzunehmen, ist auf die Ausführungen zur Kollusionsge- fahr nicht weiter einzugehen.</w:t>
      </w:r>
    </w:p>
    <w:p>
      <w:r>
        <w:rPr>
          <w:b/>
        </w:rPr>
        <w:t>E. 8</w:t>
      </w:r>
    </w:p>
    <w:p>
      <w:r>
        <w:t>Andere Gründe, welche eine Entlassung aus der Auslieferungshaft recht- fertigen könnten, werden weder geltend gemacht, noch sind solche ersicht- lich.</w:t>
      </w:r>
    </w:p>
    <w:p>
      <w:r>
        <w:t>Der eventualiter gestellte Antrag des Beschwerdeführers auf Einräumung einer Nachfrist zur Beibringung von Beweisen, ohne nähere Substantiie- rung der Beweise und was damit belegt werden soll, ist ohne weiteres ab- zuweisen.</w:t>
      </w:r>
    </w:p>
    <w:p>
      <w:r>
        <w:t>Die Beschwerde ist nach dem Gesagten vollumfänglich abzuweisen.</w:t>
      </w:r>
    </w:p>
    <w:p>
      <w:r>
        <w:t>- 9 -</w:t>
      </w:r>
    </w:p>
    <w:p>
      <w:r>
        <w:rPr>
          <w:b/>
        </w:rPr>
        <w:t>E. 9</w:t>
      </w:r>
    </w:p>
    <w:p>
      <w:r>
        <w:t>Bei diesem Ausgang des Verfahrens wird der Beschwerdeführer kosten- pflichtig (Art. 63 Abs. 1 VwVG i.V.m. Art. 39 Abs. 2 lit. b StBOG). Für die Berechnung der Gerichtsgebühren gelangt Art. 5 des Reglements des Bundesstrafgerichts vom 31. August 2010 über die Kosten, Gebühren und Entschädigungen in Bundesstrafverfahren (BStKR [SR 173.713.162] i.V.m. Art. 63 Abs. 4bis VwVG und Art. 63 Abs. 5 VwVG) zur Anwendung. Unter Berücksichtigung aller Umstände ist die Gerichtsgebühr vorliegend auf Fr. 3’000.-- festzusetzen.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