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RH.2012.15 vom 18. Dezember 2012</w:t>
      </w:r>
    </w:p>
    <w:p>
      <w:r>
        <w:t>Bundesstrafgericht, 2012-12-18, DE</w:t>
      </w:r>
    </w:p>
    <w:p>
      <w:r>
        <w:rPr>
          <w:b/>
        </w:rPr>
        <w:t xml:space="preserve">Quelle: </w:t>
      </w:r>
      <w:r>
        <w:t>https://mcp.opencaselaw.ch/entscheid/bstger_RH.2012.15</w:t>
      </w:r>
    </w:p>
    <w:p>
      <w:r>
        <w:t>FR: TPF RH.2012.15 du 18 décembre 2012</w:t>
      </w:r>
    </w:p>
    <w:p>
      <w:r>
        <w:t>IT: TPF RH.2012.15 del 18 dicembre 2012</w:t>
      </w:r>
    </w:p>
    <w:p>
      <w:pPr>
        <w:pStyle w:val="Heading2"/>
      </w:pPr>
      <w:r>
        <w:t>Regeste</w:t>
      </w:r>
    </w:p>
    <w:p>
      <w:r>
        <w:t>Auslieferung an Deutschland. Auslieferungshaftbefehl (Art. 48 Abs. 2 IRSG).</w:t>
      </w:r>
    </w:p>
    <w:p>
      <w:pPr>
        <w:pStyle w:val="Heading2"/>
      </w:pPr>
      <w:r>
        <w:t>Erwägungen</w:t>
      </w:r>
    </w:p>
    <w:p>
      <w:r>
        <w:rPr>
          <w:b/>
        </w:rPr>
        <w:t>E. 1</w:t>
      </w:r>
    </w:p>
    <w:p>
      <w:r>
        <w:t>lit. a IRSG). Das innerstaatliche Recht gelangt nach dem Günstigkeits- prinzip auch dann zur Anwendung, wenn dieses geringere Anforderungen an die Auslieferung stellt (BGE 137 IV 33 E. 2.2.2 S. 40 f.; BGE 136 IV 82 E. 3.1; BGE 122 II 140 E. 2 S. 142). Vorbehalten bleibt die Wahrung der Menschenrechte (BGE 135 IV 212 E. 2.3; BGE 123 II 595 E. 7c S. 616).</w:t>
      </w:r>
    </w:p>
    <w:p>
      <w:r>
        <w:rPr>
          <w:b/>
        </w:rPr>
        <w:t>E. 2</w:t>
      </w:r>
    </w:p>
    <w:p>
      <w:r>
        <w:t>Gegen den Auslieferungshaftbefehl des Bundesamtes kann der Verfolgte innert zehn Tagen ab der schriftlichen Eröffnung Beschwerde bei der Be- schwerdekammer des Bundesstrafgerichts führen. Für das Beschwerdever- fahren gelten die Art. 379-397 StPO sinngemäss (Art. 48 Abs. 2 i.V.m. Art. 47 IRSG). Der vorliegend angefochtene Auslieferungshaftbefehl wurde dem Be- schwerdeführer am 21. November 2012 eröffnet (supra, lit. B). Seine vom 22. November 2012 datierte und am 29. November 2012 eingegangene Beschwerde ist entsprechend fristgerecht erfolgt. Die übrigen Eintretensvoraussetzungen geben keinen Anlass zu weiteren Bemerkun- gen. Auf die Beschwerde ist somit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(vgl. u.a. Entscheide des Bundesstrafgerichts RH.2012.10 vom 7. September 2012, E. 3; RH.2012.9 vom 23. August 2012, E. 3, je mit Hinweisen).</w:t>
      </w:r>
    </w:p>
    <w:p>
      <w:r>
        <w:t>- 4 -</w:t>
      </w:r>
    </w:p>
    <w:p>
      <w:r>
        <w:rPr>
          <w:b/>
        </w:rPr>
        <w:t>E. 4.1</w:t>
      </w:r>
    </w:p>
    <w:p>
      <w:r>
        <w:t>Die Verhaftung des Beschuldigten während des ganzen Auslieferungsver- fahrens bildet die Regel (BGE 136 IV 20 E. 2.2 S. 23; BGE 130 II 306 E. 2; BGE 117 IV 359 E. 2a). Eine Aufhebung des Auslieferungshaftbefehls so- 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 che eine weniger einschneidende Massnahme rechtfertigen (Art. 47 Abs. 2 IRSG), oder wenn sich die Auslieferung als offensichtlich unzulässig er- weist (Art. 51 Abs. 1 IRSG). Diese Aufzählung ist nicht abschliessend (BGE 130 II 306 E. 2.1; BGE 117 IV 359 E. 2a; vgl. zum Ganzen u.a. auch die Entscheide des Bundesstrafgerichts RH.2012.11 vom 3. Oktober 2012, E. 2.1; RH.2012.10 vom 7. September 2012, E. 4). Vorbringen gegen die Auslieferung als solche oder gegen die Begründetheit des Auslieferungs- begehrens sind hingegen nicht im Beschwerdeverfahren gegen den Haft- befehl, sondern erst im eigentlichen Auslieferungsverfahren zu prüfen (vgl. MOREILLON/DUPUIS/MAZOV, La pratique judiciaire du Tribunal pénal fédéral, in Journal des Tribunaux 2009 IV 111 Nr. 190 und 2008 IV 66 Nr. 322 je mit Hinweisen auf die Rechtsprechung).</w:t>
      </w:r>
    </w:p>
    <w:p>
      <w:r>
        <w:t>Diese Regelung betreffend die ausnahmsweise zu gewährende Haftentlas- sung soll es der Schweiz ermöglichen, ihren staatsvertraglichen Ausliefe- rungspflichten nachzukommen. Die Haftentlassung im Auslieferungsverfah- ren ist deshalb an strengere Voraussetzungen gebunden als der Verzicht auf die gewöhnliche Untersuchungshaft in einem Strafverfahren oder die Entlassung aus einer solchen (vgl. BGE 130 II 306 E. 2.2 und 2.3; BGE 111 IV 108 E. 2). Dies gilt auch dann, wenn der Beschuldigte in der Schweiz niedergelassen ist und hier einer ordentlichen Geschäftstätigkeit nachgeht. Die Rechtsprechung ist hinsichtlich der Verneinung von Fluchtgefahr selbst bei familiären Bindungen in der Schweiz überaus restriktiv und misst der Erfüllung der staatsvertraglichen Auslieferungspflichten im Vergleich zu den Interessen des Verfolgten ausserordentlich grosses Gewicht bei (vgl. BGE 130 II 306 E. 2 S. 310 ff.; Entscheid des Bundesstrafgerichts RH.2012.10 vom 7. September 2012, E. 7.2, je mit Hinweisen). Bei drohenden, hohen Freiheitsstrafen ist eine Fluchtgefahr gemäss der Rechtsprechung in der Regel trotz Niederlassungsbewilligung und familiären Bindungen in der Schweiz gegeben. So wurde beispielsweise die Möglichkeit einer Verurtei- lung zu einer langen Freiheitsstrafe als ausreichend zur Verweigerung der Haftentlassung betrachtet, obwohl der Verfolgte in diesem Fall über eine</w:t>
      </w:r>
    </w:p>
    <w:p>
      <w:r>
        <w:t>- 5 -</w:t>
      </w:r>
    </w:p>
    <w:p>
      <w:r>
        <w:t>Niederlassungsbewilligung verfügte, seit 18 Jahren in der Schweiz wohnte, mit einer Schweizer Bürgerin verheiratet und Vater zweier Kinder im Alter von 3 und 8 Jahren war, die beide die schweizerische Nationalität besas- sen und hierzulande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 strafgerichts BH.2005.8 vom 7. April 2005, E. 2.3) und bei einem Verfolg- ten, der seit seinem 17. Lebensjahr seit 10 Jahren ununterbrochen in der Schweiz lebte und seine Freundin wie auch den Freundeskreis hier hatte (Entscheid des Bundesstrafgerichts BH.2006.4 vom 21. März 2006, E. 2.2.1).</w:t>
      </w:r>
    </w:p>
    <w:p>
      <w:r>
        <w:rPr>
          <w:b/>
        </w:rPr>
        <w:t>E. 4.2</w:t>
      </w:r>
    </w:p>
    <w:p>
      <w:r>
        <w:t>In casu bringt der Beschwerdeführer im Wesentlichen vor, er sei mit dem Auslieferungshaftbefehl nicht einverstanden, da er seit dem 5. September 2011 in der Schweiz wohne und hier seit dem 1. Februar 2012 als Dachde- cker arbeite. Er habe in der Schweiz ein neues Leben aufgebaut und wolle deshalb hier bleiben. Zudem habe er den Grund für den Bewährungswider- ruf nicht erfahren (act. 1).</w:t>
      </w:r>
    </w:p>
    <w:p>
      <w:r>
        <w:t>Bei diesen Rügen des Beschwerdeführers handelt es sich – soweit sie sich überhaupt gegen den Auslieferungshaftbefehl und nicht gegen die Ausliefe- rung als solche richten – um keine Gründe in Sinne obgenannter Erwägun- gen (Ziff. 4.1), die per se die ausnahmsweise Aufhebung der angeordneten Auslieferungshaft zu rechtfertigen vermögen. Namentlich rechtfertigt der blosse Umstand, dass der Beschwerdeführer in der Schweiz wohnt und ar- beitet, keine (anstelle der Haft) weniger einschneidende Massnahme im Sinne von Art. 47 Abs. 2 IRSG, zumal der Beschwerdeführer keine enge und insbesondere familiäre Beziehung zur Schweiz, welche der erwähnten restriktiven Rechtsprechung genügen würde, geltend macht (vgl. Ziff. 4.1). Gemäss seinen eigenen Angaben ist er vielmehr erst seit dem 1. Februar 2012 hierzulande arbeitstätig. Von einer besonderen Verbundenheit zur Schweiz kann somit keine Rede sein. Entsprechend ist – insbesondere auch angesichts der relativ langen Dauer der in Deutschland zu verbüs- senden Freiheitsstrafe von zwei Jahren und drei Monaten – eine Fluchtge- fahr nicht zu verneinen, weshalb die Aufrechterhaltung der Auslieferungs- haft angebracht ist. Im Weiteren ist auf das Vorbringen des Beschwerde-</w:t>
      </w:r>
    </w:p>
    <w:p>
      <w:r>
        <w:t>- 6 -</w:t>
      </w:r>
    </w:p>
    <w:p>
      <w:r>
        <w:t>führers, er habe den Grund des Bewährungswiderrufes nicht erfahren, nicht weiter einzugehen, zumal diesem nach seiner Verhaftung zugleich mit der Beschwerdeantwort des Bundesamtes auch der begründete Beschluss des Amtsgerichtes Hainichen betreffend Bewährungswiderruf zugestellt worden ist. Der Grund des Bewährungswiderrufes steht ihm somit zur Kenntnis- nahme offen (vgl. act. 3).</w:t>
      </w:r>
    </w:p>
    <w:p>
      <w:r>
        <w:t>Soweit ersichtlich liegt auch sonst kein offensichtlicher Ausschlussgrund bezüglich des Auslieferungsersuchens vor, welcher ausnahmsweise die Aufhebung des Auslieferungshaftbefehls rechtfertigen würde (vgl. supra, Ziff. 4.1). Im Übrigen sind Vorbringen gegen die Auslieferung als solche oder gegen die Begründetheit des Auslieferungsersuchens erst im eigentli- chen Auslieferungsverfahren zu prüfen.</w:t>
      </w:r>
    </w:p>
    <w:p>
      <w:r>
        <w:rPr>
          <w:b/>
        </w:rPr>
        <w:t>E. 4.3</w:t>
      </w:r>
    </w:p>
    <w:p>
      <w:r>
        <w:t>Entsprechend ist in Ermangelung stichhaltiger Gründe für eine ausnahms- weise Aufhebung der Auslieferungshaft die Beschwerde als unbegründet abzuweisen.</w:t>
      </w:r>
    </w:p>
    <w:p>
      <w:r>
        <w:rPr>
          <w:b/>
        </w:rPr>
        <w:t>E. 5</w:t>
      </w:r>
    </w:p>
    <w:p>
      <w:r>
        <w:t>Bei diesem Ausgang des Verfahrens sind die Gerichtskosten dem Be- schwerdeführer aufzuerlegen (Art. 63 Abs. 1 VwVG i.V.m. Art. 39 Abs. 2 lit. b StBOG). Die Gerichtsgebühr ist auf Fr. 1'000.-- festzusetzen (Art. 63 Abs. 5 VwVG i.V.m. Art. 39 Abs. 2 lit. b StBOG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