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RH.2012.14 vom 12. November 2012</w:t>
      </w:r>
    </w:p>
    <w:p>
      <w:r>
        <w:t>Bundesstrafgericht, 2012-11-12, DE</w:t>
      </w:r>
    </w:p>
    <w:p>
      <w:r>
        <w:rPr>
          <w:b/>
        </w:rPr>
        <w:t xml:space="preserve">Quelle: </w:t>
      </w:r>
      <w:r>
        <w:t>https://mcp.opencaselaw.ch/entscheid/bstger_RH.2012.14</w:t>
      </w:r>
    </w:p>
    <w:p>
      <w:r>
        <w:t>FR: TPF RH.2012.14 du 12 novembre 2012</w:t>
      </w:r>
    </w:p>
    <w:p>
      <w:r>
        <w:t>IT: TPF RH.2012.14 del 12 novembre 2012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und die Auslieferungshaft zwischen der Schweiz und Deutschland sind primär das Europäische Auslieferungsüber- einkommen vom 13. Dezember 1957 (EAUe, SR 0.353.1), das hierzu er- gangene zweite Zusatzprotokoll vom 17. März 1978 (ZPII EAUe, SR 0.353.12), welchem beide Staaten beigetreten sind, sowie der Vertrag vom 13. November 1969 zwischen der Schweizerischen Eidgenossen- schaft und der Bundesrepublik Deutschland über die Ergänzung des EAUe und die Erleichterung seiner Anwendung (ZV EAUe,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(BGE 136 IV 88 E. 3.1 S. 89), wobei die zwischen den Ver- tragsparteien geltenden weitergehenden Bestimmungen aufgrund bilatera- 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(Rechtshilfegesetz, IRSG; SR 351.1) und die Verordnung vom 24. Februar 1982 über internationale Rechtshilfe in Strafsachen (Rechtshil- feverordnung, IRSV; SR 351.11). Dies gilt auch im Verhältnis zum SDÜ (Art. 1 Abs. 1 lit. a IRSG). Das innerstaatliche Recht gelangt nach dem Günstigkeitsprinzip auch dann zur Anwendung, wenn dieses geringere An- forderungen an die Auslieferung stellt (BGE 137 IV 33 E. 2.2.2 S. 40 f.; 136 IV 82 E. 3.1; 122 II 140 E. 2 S. 142). Vorbehalten bleibt die Wahrung der Menschenrechte (BGE 135 IV 212 E. 2.3; 123 II 595 E. 7c S. 616).</w:t>
      </w:r>
    </w:p>
    <w:p>
      <w:r>
        <w:rPr>
          <w:b/>
        </w:rPr>
        <w:t>E. 2.1</w:t>
      </w:r>
    </w:p>
    <w:p>
      <w:r>
        <w:t>Gegen den Auslieferungshaftbefehl des BJ kann der Verfolgte innert zehn Tagen ab der schriftlichen Eröffnung Beschwerde bei der Beschwerde- kammer des Bundesstrafgerichts führen. Für das Beschwerdeverfahren gelten die Art. 379 – 397 StPO sinngemäss (Art. 48 Abs. 2 i.V.m. Art. 47 IRSG).</w:t>
      </w:r>
    </w:p>
    <w:p>
      <w:r>
        <w:rPr>
          <w:b/>
        </w:rPr>
        <w:t>E. 2.2</w:t>
      </w:r>
    </w:p>
    <w:p>
      <w:r>
        <w:t>Der vorliegend angefochtene Auslieferungshaftbefehl wurde dem Be- schwerdeführer am 26. Oktober 2012 schriftlich eröffnet. Seine am 2. No-</w:t>
      </w:r>
    </w:p>
    <w:p>
      <w:r>
        <w:t>- 4 -</w:t>
      </w:r>
    </w:p>
    <w:p>
      <w:r>
        <w:t>vember 2012 erhobene Beschwerde erweist sich als fristgerecht. Die übri- gen Eintretensvoraussetzungen geben keinen Anlass zu weiteren Bemer- kungen. Auf die Beschwerde ist demnach einzutreten.</w:t>
      </w:r>
    </w:p>
    <w:p>
      <w:r>
        <w:rPr>
          <w:b/>
        </w:rPr>
        <w:t>E. 2.3</w:t>
      </w:r>
    </w:p>
    <w:p>
      <w:r>
        <w:t>Was die mittels der bei der Beschwerdekammer eingetroffenen Fax- Eingaben erhobene Beschwerde anbetrifft, sind die Bestimmungen von Art. 91 Abs. 2 i.V.m. Art. 396 Abs. 1 StPO i.V.m. Art. 48 Abs. 2 IRSG zu beachten. Demnach ist die Beschwerde innerhalb der gesetzlichen Be- schwerdefrist schriftlich einzureichen, wobei die Einreichung per Fax dies- bezüglich nicht genügt (vgl. hierzu das Urteil des Bundesgerichts 1B_537/2011 vom 16. November 2011, E. 3 m.w.H.), weshalb die erwähn- ten Eingaben grundsätzlich unbeachtlich bleiben. Nachdem der Beschwer- deführer vorliegend selber mit handschriftlicher Eingabe innerhalb der ge- setzlichen Beschwerdefrist in rechtsgenügender Form Beschwerde erho- ben hat und sich den Fax-Eingaben nichts entnehmen lässt, was den Aus- gang des vorliegenden Verfahrens beeinflussen könnte, erübrigen sich diesbezüglich weitere Bemerkungen.</w:t>
      </w:r>
    </w:p>
    <w:p>
      <w:r>
        <w:rPr>
          <w:b/>
        </w:rPr>
        <w:t>E. 2.4</w:t>
      </w:r>
    </w:p>
    <w:p>
      <w:r>
        <w:t>Die neuerliche Eingabe des Beschwerdeführers vom 6. November 2012 mit zusätzlichen Vorbringen zur Begründung der Beschwerde erfolgte nach Ab- lauf der Beschwerdefrist. Die Begründung zur Beschwerde hat jedoch in- nerhalb dieser gesetzlichen und nicht erstreckbaren Beschwerdefrist zu er- folgen (Art. 396 Abs. 1 i.V.m. Art. 89 Abs. 1 StPO und Art. 48 Abs. 2 IRSG), weshalb sich die nachträgliche Eingabe als verspätet erweist und unbe- achtlich bleibt. Im Übrigen lassen sich jedoch auch ihr keine Elemente ent- nehmen, welche den Ausgang des Beschwerdeverfahrens beeinflussen könnten.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(vgl. hierzu zuletzt u. a. die Entscheide des Bundesstrafgerichts RH.2012.10 vom 7. Septem- ber 2012, E. 3; RH.2012.9 vom 23. August 2012, E. 3; jeweils m.w.H.).</w:t>
      </w:r>
    </w:p>
    <w:p>
      <w:r>
        <w:rPr>
          <w:b/>
        </w:rPr>
        <w:t>E. 4.1</w:t>
      </w:r>
    </w:p>
    <w:p>
      <w:r>
        <w:t>Die Verhaftung des Beschuldigten während des ganzen Auslieferungsver- fahrens bildet die Regel (BGE 136 IV 20 E. 2.2 S. 23; 130 II 306 E. 2.2 S. 309). Eine Aufhebung des Auslieferungshaftbefehls sowie eine Haftent-</w:t>
      </w:r>
    </w:p>
    <w:p>
      <w:r>
        <w:t>- 5 -</w:t>
      </w:r>
    </w:p>
    <w:p>
      <w:r>
        <w:t>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RH.2012.11 vom 3. Oktober 2012, E. 2.1; RH.2012.10 vom 7. September 2012, E. 4).</w:t>
      </w:r>
    </w:p>
    <w:p>
      <w:r>
        <w:rPr>
          <w:b/>
        </w:rPr>
        <w:t>E. 4.2</w:t>
      </w:r>
    </w:p>
    <w:p>
      <w:r>
        <w:t>Der Beschwerdeführer, welcher sich als Staatsangehöriger des Deutschen Reichs bezeichnet (vgl. act. 6.4, S. 2), macht im Rahmen seiner Beschwer- de geltend, die BRD sei seit 1990 kein Staat mehr, sondern täusche Staat- lichkeit vor. Sie sei weder vom deutschen Volk legitimiert noch habe sie ein Staatsgebiet. Des Weiteren habe er bis heute kein rechtskräftiges, von ei- nem ordentlichen Gericht und einem unparteiischen Richter nach deut- schem Recht und Gesetz gefälltes Urteil erhalten (act. 1). Das ihm gegen- über gefällte Urteil des Amtsgerichts Lindau (Bodensee) bezeichnet er als Scheinurteil (act. 1; act. 6.4, S. 2).</w:t>
      </w:r>
    </w:p>
    <w:p>
      <w:r>
        <w:t>Sofern der Beschwerdeführer die Gültigkeit des Urteils aufgrund der von ihm gemachten Ausführungen zur Staatlichkeit Deutschlands in Zweifel zieht, sind seine Vorbringen abwegig (vgl. in ähnlichem Zusammenhang bereits das Urteil des Bundesgerichts 6B_435/2012 vom 19. Septem- ber 2012, E. 1; siehe auch den Beschluss des Bundesstrafgerichts BB.2012.130 vom 24. August 2012). Das dem Auslieferungsersuchen zu Grunde liegende Urteil befindet sich bei den Akten (act. 6.6, Beilage 1). Anhaltspunkte, welche die Auslieferung des Beschwerdeführers als unzu- lässig erscheinen liessen, sind dem Urteil keine zu entnehmen.</w:t>
      </w:r>
    </w:p>
    <w:p>
      <w:r>
        <w:rPr>
          <w:b/>
        </w:rPr>
        <w:t>E. 4.3</w:t>
      </w:r>
    </w:p>
    <w:p>
      <w:r>
        <w:t>Stichhaltige Gründe, weshalb sich die vorliegend angeordnete Ausliefe- rungshaft als unzulässig oder als unverhältnismässig erweisen würde, wer- den vom Beschwerdeführer somit keine geltend gemacht. Den Akten kön- nen auch sonst keine solchen entnommen werden. Die Beschwerde er- weist sich nach dem Gesagten als offensichtlich unbegründet, weshalb sie abzuweisen ist.</w:t>
      </w:r>
    </w:p>
    <w:p>
      <w:r>
        <w:t>- 6 -</w:t>
      </w:r>
    </w:p>
    <w:p>
      <w:r>
        <w:rPr>
          <w:b/>
        </w:rPr>
        <w:t>E. 5</w:t>
      </w:r>
    </w:p>
    <w:p>
      <w:r>
        <w:t>Bei diesem Ausgang des Verfahrens sind die Gerichtskosten dem Be- schwerdeführer aufzuerlegen (Art. 63 Abs. 1 VwVG i.V.m. Art. 39 Abs. 2 lit. b StBOG). Die Gerichtsgebühr ist auf Fr. 1'000.-- festzusetzen (Art. 63 Abs. 5 VwVG i.V.m. Art. 39 Abs. 2 lit. b StBOG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