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RH.2012.13 vom 29. Oktober 2012</w:t>
      </w:r>
    </w:p>
    <w:p>
      <w:r>
        <w:t>Bundesstrafgericht, 2012-10-29, DE</w:t>
      </w:r>
    </w:p>
    <w:p>
      <w:r>
        <w:rPr>
          <w:b/>
        </w:rPr>
        <w:t xml:space="preserve">Quelle: </w:t>
      </w:r>
      <w:r>
        <w:t>https://mcp.opencaselaw.ch/entscheid/bstger_RH.2012.13</w:t>
      </w:r>
    </w:p>
    <w:p>
      <w:r>
        <w:t>FR: TPF RH.2012.13 du 29 octobre 2012</w:t>
      </w:r>
    </w:p>
    <w:p>
      <w:r>
        <w:t>IT: TPF RH.2012.13 del 29 ottobre 2012</w:t>
      </w:r>
    </w:p>
    <w:p>
      <w:pPr>
        <w:pStyle w:val="Heading2"/>
      </w:pPr>
      <w:r>
        <w:t>Regeste</w:t>
      </w:r>
    </w:p>
    <w:p>
      <w:r>
        <w:t>Auslieferung an Deutschland. Auslieferungshaftbefehl (Art. 48 Abs. 2 IRSG). Unentgeltliche Rechtspflege (Art. 65 VwVG).</w:t>
      </w:r>
    </w:p>
    <w:p>
      <w:pPr>
        <w:pStyle w:val="Heading2"/>
      </w:pPr>
      <w:r>
        <w:t>Erwägungen</w:t>
      </w:r>
    </w:p>
    <w:p>
      <w:r>
        <w:rPr>
          <w:b/>
        </w:rPr>
        <w:t>E. 1.1</w:t>
      </w:r>
    </w:p>
    <w:p>
      <w:r>
        <w:t>Für den Auslieferungsverkehr und die Auslieferungshaft zwischen der Schweiz und Deutschland sind primär das Europäische Auslieferungsüber- einkommen vom 13. Dezember 1957 (EAUe, SR 0.353.1), das hierzu er- gangene zweite Zusatzprotokoll vom 17. März 1978 (ZPII EAUe, SR 0.353.12), welchem beide Staaten beigetreten sind, sowie der Vertrag vom 13. November 1969 zwischen der Schweizerischen Eidgenossen- schaft und der Bundesrepublik Deutschland über die Ergänzung des EAUe und die Erleichterung seiner Anwendung (ZV EAUe, SR 0.353.913.61) massgebend. Ausserdem gelangen die Bestimmungen der Art. 59 ff. des Übereinkommens vom 19. Juni 1990 zur Durchführung des Übereinkom- mens von Schengen vom 14. Juni 1985 (Schengener Durchführungsüber- einkommen, SDÜ; Abl. L 239 vom 22. September 2000, S. 19 – 62) zur Anwendung (BGE 136 IV 88 E. 3.1 S. 89), wobei die zwischen den Ver- tragsparteien geltenden weitergehenden Bestimmungen aufgrund bilatera- ler Abkommen unberührt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Bundesgesetz vom 20. März 1981 (Rechtshilfegesetz, IRSG; SR 351.1) und die Verordnung vom 24. Februar 1982 über internationale Rechtshilfe in Strafsachen (Rechtshil- feverordnung, IRSV; SR 351.11). Dies gilt auch im Verhältnis zum SDÜ (Art. 1 Abs. 1 lit. a IRSG). Das innerstaatliche Recht gelangt nach dem Günstigkeitsprinzip auch dann zur Anwendung, wenn dieses geringere An- forderungen an die Auslieferung stellt (BGE 137 IV 33 E. 2.2.2 S. 40 f.; 136 IV 82 E. 3.1; 122 II 140 E. 2 S. 142). Vorbehalten bleibt die Wahrung der Menschenrechte (BGE 135 IV 212 E. 2.3; 123 II 595 E. 7c S. 616).</w:t>
      </w:r>
    </w:p>
    <w:p>
      <w:r>
        <w:rPr>
          <w:b/>
        </w:rPr>
        <w:t>E. 2.1</w:t>
      </w:r>
    </w:p>
    <w:p>
      <w:r>
        <w:t>Gegen den Auslieferungshaftbefehl des BJ kann der Verfolgte innert zehn Tagen ab der schriftlichen Eröffnung Beschwerde bei der Beschwerde- kammer des Bundesstrafgerichts führen. Für das Beschwerdeverfahren gelten die Art. 379 – 397 StPO sinngemäss (Art. 48 Abs. 2 i.V.m. Art. 47 IRSG).</w:t>
      </w:r>
    </w:p>
    <w:p>
      <w:r>
        <w:rPr>
          <w:b/>
        </w:rPr>
        <w:t>E. 2.2</w:t>
      </w:r>
    </w:p>
    <w:p>
      <w:r>
        <w:t>Der vorliegend angefochtene Auslieferungshaftbefehl wurde dem Be- schwerdeführer am 10. Oktober 2012 schriftlich eröffnet. Seine am 17. Ok-</w:t>
      </w:r>
    </w:p>
    <w:p>
      <w:r>
        <w:t>- 4 -</w:t>
      </w:r>
    </w:p>
    <w:p>
      <w:r>
        <w:t>tober 2012 erhobene Beschwerde erweist sich als fristgerecht. Die übrigen Eintretensvoraussetzungen geben keinen Anlass zu weiteren Bemerkun- gen. Auf die Beschwerde ist demnach einzutreten.</w:t>
      </w:r>
    </w:p>
    <w:p>
      <w:r>
        <w:rPr>
          <w:b/>
        </w:rPr>
        <w:t>E. 3</w:t>
      </w:r>
    </w:p>
    <w:p>
      <w:r>
        <w:t>Die Beschwerdekammer ist bei ihrem Entscheid weder an die Anträge noch an die Begründungen der Parteien gebunden (Art. 391 Abs. 1 lit. a und b StPO i.V.m. Art. 48 Abs. 2 IRSG). Sie prüft die Auslieferungshaftvorausset- zungen mit freier Kognition, befasst sich jedoch nur mit Tat- und Rechtsfra- gen, die Streitgegenstand der Beschwerde bilden (vgl. hierzu zuletzt u. a. die Entscheide des Bundesstrafgerichts RH.2012.10 vom 7. Septem- ber 2012, E. 3; RH.2012.9 vom 23. August 2012, E. 3; jeweils m.w.H.).</w:t>
      </w:r>
    </w:p>
    <w:p>
      <w:r>
        <w:rPr>
          <w:b/>
        </w:rPr>
        <w:t>E. 4.1</w:t>
      </w:r>
    </w:p>
    <w:p>
      <w:r>
        <w:t>Die Verhaftung des Beschuldigten während des ganzen Auslieferungsver- fahrens bildet die Regel (BGE 136 IV 20 E. 2.2 S. 23; 130 II 306 E. 2.2 S. 309). Eine Aufhebung des Auslieferungshaftbefehls sowie eine Haftent- lassung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vorliegen, welche eine weniger ein- schneidende Massnahme rechtfertigen (Art. 47 Abs. 2 IRSG), oder wenn sich die Auslieferung als offensichtlich unzulässig erweist (Art. 51 Abs. 1 IRSG). Diese Aufzählung ist nicht abschliessend (BGE 130 II 306 E. 2.1; 117 IV 359 E. 2a S. 361; vgl. zum Ganzen zuletzt u. a. die Entscheide des Bundesstrafgerichts RH.2012.11 vom 3. Oktober 2012, E. 2.1; RH.2012.10 vom 7. September 2012, E. 4).</w:t>
      </w:r>
    </w:p>
    <w:p>
      <w:r>
        <w:rPr>
          <w:b/>
        </w:rPr>
        <w:t>E. 4.2</w:t>
      </w:r>
    </w:p>
    <w:p>
      <w:r>
        <w:t>Der Beschwerdeführer macht zur Begründung seiner Beschwerde lediglich geltend, dass sich der Auslieferungshaftbefehl gegen den "Bundesbürger A., juristische Person" richte, er jedoch "der Deutsche Reichsbürger A., na- türliche Person" sei. Er sei somit nicht die eigentlich gemeinte Zielperson. Dieses Vorbringen ist abwegig, da sowohl sein Geburtsdatum (…) wie auch sein Geburtsort (Z.) mit den Angaben in der SIS-Ausschreibung überein- stimmen (vgl. act. 3.1; siehe hierzu auch schon das Urteil des Bundesge- richts 6B_435/2012 vom 19. September 2012, E. 1; siehe auch den Be- schluss des Bundesstrafgerichts BB.2012.130 vom 24. August 2012). Sei- ne Identität mit der im SIS ausgeschriebenen Person steht somit fest.</w:t>
      </w:r>
    </w:p>
    <w:p>
      <w:r>
        <w:t>- 5 -</w:t>
      </w:r>
    </w:p>
    <w:p>
      <w:r>
        <w:rPr>
          <w:b/>
        </w:rPr>
        <w:t>E. 4.3</w:t>
      </w:r>
    </w:p>
    <w:p>
      <w:r>
        <w:t>Stichhaltige Gründe, weshalb sich die vorliegend angeordnete Ausliefe- rungshaft als unzulässig oder als unverhältnismässig erweisen würde, wer- den vom Beschwerdeführer somit keine geltend gemacht. Den Akten kön- nen auch sonst keine solchen entnommen werden. Die Beschwerde er- weist sich nach dem Gesagten als offensichtlich unbegründet, weshalb sie abzuweisen ist.</w:t>
      </w:r>
    </w:p>
    <w:p>
      <w:r>
        <w:rPr>
          <w:b/>
        </w:rPr>
        <w:t>E. 5.1</w:t>
      </w:r>
    </w:p>
    <w:p>
      <w:r>
        <w:t>Die Beschwerdekammer befreit eine Partei, die nicht über die erforderli- 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 Gemäss der bundesgerichtlichen Rechtspre- chung sind Prozessbegehren als aussichtslos anzusehen, wenn die Ge- winnaussichten beträchtlich geringer erscheinen als die Verlustgefahren. Dagegen gilt ein Begehren nicht als aussichtslos, wenn sich Gewinnaus- sichten und Verlustgefahren ungefähr die Waage halten oder jene nur we- nig geringer sind als diese (BGE 138 III 217 E. 2.2.4; 134 I 92 E. 3.2.1; 129 I 129 E. 2.3.1).</w:t>
      </w:r>
    </w:p>
    <w:p>
      <w:r>
        <w:rPr>
          <w:b/>
        </w:rPr>
        <w:t>E. 5.2</w:t>
      </w:r>
    </w:p>
    <w:p>
      <w:r>
        <w:t>Anhand des oben Ausgeführten erwies sich die Beschwerde offensichtlich als aussichtslos im Sinne von Art. 65 Abs. 1 VwVG. Demzufolge ist das Gesuch des Beschwerdeführers um unentgeltliche Rechtspflege und Ver- beiständung abzuweisen.</w:t>
      </w:r>
    </w:p>
    <w:p>
      <w:r>
        <w:rPr>
          <w:b/>
        </w:rPr>
        <w:t>E. 6</w:t>
      </w:r>
    </w:p>
    <w:p>
      <w:r>
        <w:t>Bei diesem Ausgang des Verfahrens sind die Gerichtskosten dem Be- schwerdeführer aufzuerlegen (Art. 63 Abs. 1 VwVG i.V.m. Art. 39 Abs. 2 lit. b StBOG). Die Gerichtsgebühr ist auf Fr. 1'000.-- festzusetzen (Art. 63 Abs. 5 VwVG i.V.m. Art. 39 Abs. 2 lit. b StBOG und Art. 73 StBOG sowie Art. 5 und 8 Abs. 3 lit. a des Reglements des Bundesstrafgerichts vom 31. August 2010 über die Kosten, Gebühren und Entschädigungen in Bun- 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