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RH.2012.11 vom 3. Oktober 2012</w:t>
      </w:r>
    </w:p>
    <w:p>
      <w:r>
        <w:t>Bundesstrafgericht, 2012-10-03, FR</w:t>
      </w:r>
    </w:p>
    <w:p>
      <w:r>
        <w:rPr>
          <w:b/>
        </w:rPr>
        <w:t xml:space="preserve">Quelle: </w:t>
      </w:r>
      <w:r>
        <w:t>https://mcp.opencaselaw.ch/entscheid/bstger_RH.2012.11</w:t>
      </w:r>
    </w:p>
    <w:p>
      <w:r>
        <w:t>FR: TPF RH.2012.11 du 3 octobre 2012</w:t>
      </w:r>
    </w:p>
    <w:p>
      <w:r>
        <w:t>IT: TPF RH.2012.11 del 3 ottobre 2012</w:t>
      </w:r>
    </w:p>
    <w:p>
      <w:pPr>
        <w:pStyle w:val="Heading2"/>
      </w:pPr>
      <w:r>
        <w:t>Regeste</w:t>
      </w:r>
    </w:p>
    <w:p>
      <w:r>
        <w:t>Extradition à la France ; Refus de mise en liberté (art. 47 ss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 plétant la CEExtr (RS 0.353.934.92, ci-après: l’Accord CEExtr franco- suisse). A compter du 12 décembre 2008, les art. 59 à 66 de la Convention d’application de l’Accord Schengen du 14 juin 1985 (CAAS; n° CELEX 42000A0922(02); Journal officiel de l’Union européenne L 239 du 22 sep- tembre 2000, p. 19 à 62) s’appliquent également à l’extradition entre la Suisse et la France (v. arrêt du Tribunal pénal fédéral RR.2008.296 du 17 décembre 2008, consid. 1.3). Les dispositions pertinentes du CAAS n’affectent pas l’application des dispositions plus larges des accords en vi- gueur entre la France et la Suisse (art. 59 ch.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 tée). Le droit interne s'applique en outre lorsqu'il est plus favorable à l'octroi de l’extradition que les traités (ATF 136 IV 82 consid. 3.1; 129 II 462 consid. 1.1; 122 II 140 consid. 2). L'application de la norme la plus favora- ble (principe dit «de faveur») doit avoir lieu dans le respect des droits fon- damentaux (ATF 135 IV 212 consid. 2.3).</w:t>
      </w:r>
    </w:p>
    <w:p>
      <w:r>
        <w:rPr>
          <w:b/>
        </w:rPr>
        <w:t>E. 1.2</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37 al. 2 let. a ch. 1 LOAP et 19 al. 1 du règlement sur l’organisation du Tri- bunal pénal fédéral [ROTPF; RS 173.713.161]). Le recourant a qualité pour agir à l'encontre de ce prononcé (art. 48 al. 2 et 80h let. b EIMP) et le re- cours a été interjeté en temps utile. Celui-ci est partant recevable.</w:t>
      </w:r>
    </w:p>
    <w:p>
      <w:r>
        <w:rPr>
          <w:b/>
        </w:rPr>
        <w:t>E. 2.1</w:t>
      </w:r>
    </w:p>
    <w:p>
      <w:r>
        <w:t>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w:t>
      </w:r>
    </w:p>
    <w:p>
      <w:r>
        <w:t>- 5 -</w:t>
      </w:r>
    </w:p>
    <w:p>
      <w:r>
        <w:t>préventive (ATF 130 II 306 consid. 2.2; 111 IV 108 consid. 2; 109 Ib 223 consid. 2c; arrêt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ou encore si l’extradition est manifestement inadmissible (art. 51 al. 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130 II 306 consid. 2.2; 111 IV 108 consid. 2). Au demeurant,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ATF 133 IV 125, 129, 131, 132, 134).</w:t>
      </w:r>
    </w:p>
    <w:p>
      <w:r>
        <w:rPr>
          <w:b/>
        </w:rPr>
        <w:t>E. 2.2</w:t>
      </w:r>
    </w:p>
    <w:p>
      <w:r>
        <w:t>Dans son écriture, le recourant soutient que la jurisprudence citée par l'OFJ, soit l'ATF 130 II 306 rendu en matière d'entraide, serait devenue ob- solète au vu de l'entrée en vigueur du CPP et de l'art. 212 de cette dernière loi, codifiant la non-automaticité de la détention provisoire (act. 1, p. 7). Le recourant indique que seul le respect de l'art. 221 CPP et donc le risque de fuite pourrait justifier sa détention. Il invoque à cet égard des extraits de doctrine relatifs à l'application du CPP et conclut que, hormis un défaut à une convocation, rien n'indique qu'il aurait l'intention de se soustraire à la procédure pénale ouverte à son encontre (act. 1, p. 10). Il résiderait en Suisse depuis de nombreuses années, lieu où se trouvent également son épouse et ses enfants, et il serait au bénéfice d'une autorisation d'établis- sement. Il n'existerait en outre aucun risque de réitération (act. 1, p. 5).</w:t>
      </w:r>
    </w:p>
    <w:p>
      <w:r>
        <w:rPr>
          <w:b/>
        </w:rPr>
        <w:t>E. 2.3</w:t>
      </w:r>
    </w:p>
    <w:p>
      <w:r>
        <w:t>A l'évidence, le recourant oublie qu'en matière d'entraide l'application du CPP n'est envisagée qu'à titre subsidiaire (v. art. 54 CPP, MOREILLON, Commentaire romand, Code de procédure pénale suisse, introduction aux articles 54 et 55, n° 4). La procédure d'entraide, de nature administrative et non pénale (ATF 121 II 93 consid. 3b et références citées; arrêt du Tribunal fédéral 1A.337/2005 du 20 février 2006, consid. 2.1; ZIMMERMANN, La coo- pération judiciaire internationale en matière pénale, 3e éd., Berne 2009, p. 8 n° 8 et références citées), est régie par des dispositions qui sont entière-</w:t>
      </w:r>
    </w:p>
    <w:p>
      <w:r>
        <w:t>- 6 -</w:t>
      </w:r>
    </w:p>
    <w:p>
      <w:r>
        <w:t>ment indépendantes du CPP ainsi que de la doctrine et de la jurisprudence qui s'en rapportent. Les principes invoqués par l'OFJ à l'appui de sa déci- sion demeurent inchangés en dépit de l'entrée en vigueur du CPP. Il s'en- suit que le grief doit être rejeté.</w:t>
      </w:r>
    </w:p>
    <w:p>
      <w:r>
        <w:rPr>
          <w:b/>
        </w:rPr>
        <w:t>E. 2.4</w:t>
      </w:r>
    </w:p>
    <w:p>
      <w:r>
        <w:t>De l'avis du recourant, aucune disposition de l'EIMP ou de ses règlements ne prévoirait l'automaticité de la détention, la CEExtr disposant au contraire que la liberté provisoire est possible à tout moment (act. 1, p. 8). Les arguments du recourant, méconnaissent la jurisprudence claire et constante rappelée ci-dessus selon laquelle, en matière d'entraide, la dé- tention reste la règle et la mise en liberté l'exception. Ainsi, ce grief est éga- lement dénoué de pertinence.</w:t>
      </w:r>
    </w:p>
    <w:p>
      <w:r>
        <w:rPr>
          <w:b/>
        </w:rPr>
        <w:t>E. 2.5</w:t>
      </w:r>
    </w:p>
    <w:p>
      <w:r>
        <w:t>Le recourant fait au surplus valoir qu'il n'existerait aucun risque de fuite. A ce sujet, il y a lieu de rappeler que l’élargissement en matière de détention extraditionnelle est expressément réglé par la loi et n'entre en ligne de compte que dans l’hypothèse où il apparaît que la personne poursuivie ne se soustraira pas à l’extradition et n’entravera pas l’instruction (art. 47 al. 1 let. a EIMP). Ces deux conditions sont cumulatives; si l’intéressé ne se prévaut que de la réalisation de l’une d’elles, il ne saurait prétendre qu’il soit renoncé à la détention extraditionnelle (ATF 109 Ib 58 consid. 2). Quand bien même le recourant ne se réfère pas explicitement à l'art. 47 al. 1 let. a EIMP, il s'impose à la Cour de céans de traiter ses arguments à la lumière de la disposition précitée. La jurisprudence est très restrictive quant au risque de fuite (voir la casuistique présentée dans l'ATF 130 II 306 consid. 2.4) et les raisons qui justifient de déroger à la règle de la détention extraditionnelle sont rarement admises. Dans ce sens, le Tribunal fédéral a en particulier déjà nié la mise en liberté à une personne présentant des liens indiscutables avec la Suisse (titulaire d'un permis d'établissement ré- sidant en Suisse depuis 18 ans, marié avec une suissesse et père de deux enfants de trois et huit ans scolarisés en Suisse), compte tenu de la possi- bilité d'une condamnation à une peine privative de liberté de longue durée (arrêt du Tribunal fédéral 8G.45/2001 du 15 août 2001, consid. 3a). In casu, il est établi que le recourant est de nationalité portugaise. S'il est vrai qu'il réside en Suisse depuis plusieurs années – en tout cas depuis 1994 à en croire au contrat de bail à loyer produit conjointement au formu- laire d'assistance judiciaire – et qu'il a dans ce pays des rattachements fa- miliaux étroits, il est aussi à relever que celui-ci, au bénéfice d'une rente AVS/AI, n'exerce pas d'activité professionnelle stable (voir à ce sujet les bulletins de salaire des mois de juin et juillet 2012, joints au formulaire d'assistance judiciaire et faisant état de revenus à hauteur de CHF 180.--</w:t>
      </w:r>
    </w:p>
    <w:p>
      <w:r>
        <w:t>- 7 -</w:t>
      </w:r>
    </w:p>
    <w:p>
      <w:r>
        <w:t>environ par mois). En outre, le fait que le recourant n'a pas donné suite à la convocation qui lui a été adressée par les autorités françaises le 8 février 2012 (act. 4.4) ne fait que renforcer le doute que, s'il devait être libéré, il se soustrairait à l'extradition ou, à tout le moins, ne ferait rien pour ne pas en- traver l'instruction. La lourde peine qu'il pourrait encourir s'il devait être re- connu coupable des faits qui lui sont reprochés – l'infraction d'agression sexuelle sur mineure de quinze ans étant passible, selon les renseigne- ments fournis par l'autorité requérante, d'une peine de sept ans d'empri- sonnement et de EUR 100'000 d'amende – ne peut d'ailleurs que renforcer ces doutes. Il en va de même de la conduite du recourant, décrite par un témoin entendu dans la procédure française, selon laquelle A. n'aurait plus remis les pieds en France depuis les déclarations de la victime (act. 4.4). L'on ne saurait ainsi considérer qu'il n'existe pas de risque de fuite. Afin de justifier le bien fondé de sa demande de mise en liberté, le recou- rant se prévaut en outre de ce qu'il n'existerait pas un risque de réitération (act. 1, p. 11). Il méconnait toutefois que cet élément n'est d'aucune rele- vance dans le domaine de la détention extraditionnelle, les seuls risques devant être pris en considération dans ce contexte étant ceux de fuite et d'entrave à l'instruction, soit de collusion (art. 47 al. 1 let. a EIMP; ZIMMERMANN, op. cit., n° 348). Au vu de ce qui précède, les conditions permettant de s'écarter de la règle voulant que la détention extraditionnelle est le principe et la libération l'exception ne sont pas remplies en l'espèce.</w:t>
      </w:r>
    </w:p>
    <w:p>
      <w:r>
        <w:rPr>
          <w:b/>
        </w:rPr>
        <w:t>E. 3</w:t>
      </w:r>
    </w:p>
    <w:p>
      <w:r>
        <w:t>Le recourant fait valoir que l'OFJ aurait violé l'art. 10 al. 2 Cst. selon lequel tout être humain a droit à la liberté personnelle, notamment à l'intégrité physique et psychique et à la liberté de mouvement, compte tenu du fait que, en l'absence d'un risque abstrait de fuite, la mesure ne serait pas pro- portionnée au sens de l'art. 5 al. 2 Cst. Comme il vient d'être exposé ci- dessus (consid. 2.5), il ne peut être considéré que le risque de fuite fait dé- faut, de sorte que le grief du recourant ne saurait trouver fondement.</w:t>
      </w:r>
    </w:p>
    <w:p>
      <w:r>
        <w:rPr>
          <w:b/>
        </w:rPr>
        <w:t>E. 4</w:t>
      </w:r>
    </w:p>
    <w:p>
      <w:r>
        <w:t>En application de l'art. 47 al. 2 EIMP, le recourant conclut à titre subsidiaire à ce qu'il soit mis au profit d'une mesure de substitution telle que le dépôt de ses papiers d'identité, le contrôle de sa présence en Suisse ou le port d'un bracelet électronique (act. 1, p. 12 s.). Il appuie sa requête sur le fait qu'il aurait été victime d'une agression en milieu carcéral selon ses dires à</w:t>
      </w:r>
    </w:p>
    <w:p>
      <w:r>
        <w:t>- 8 -</w:t>
      </w:r>
    </w:p>
    <w:p>
      <w:r>
        <w:t>cause de la typologie de l'infraction qui lui est imputée. La détention l'expo- serait à un danger pour sa personne.</w:t>
      </w:r>
    </w:p>
    <w:p>
      <w:r>
        <w:t>Aux termes de l'art. 47 al. 2 EIMP, si la personne poursuivie ne peut subir l'incarcération ou si d'autres motifs le justifient, l'office fédéral peut, à titre de sûreté, substituer d'autres mesures à l'arrestation. En l'espèce, de sé- rieux doutes subsistent quant au fait que des éventuelles mesures de subs- titution pourraient contrecarrer le risque de fuite établi ad consid. 2.5. En ce qui concerne tout spécialement la mise en œuvre d'une surveillance au moyen d'un bracelet électronique, il s'impose de relever qu'une telle mesu- re de substitution ne peut entrer en ligne de compte que conjointement au dépôt d'une caution (ATF 136 IV 20 consid. 3 et arrêts du Tribunal pénal fé- déral RR.2009.329 du 24 novembre 2009, consid. 6.4.2 et RR.2012.1 du 17 février 2012, consid. 2.2). En l'espèce, aucune caution n'a été versée ou proposée. Quoi qu'il en soit, les risques allégués par le recourant ne sau- raient être suffisants pour donner lieu au prononcé de mesures de substitu- tion. En effet, ils peuvent être écartés par des dispositifs mis en place au sein de l'établissement pénitentiaire où le recourant est détenu. Il est au demeurant relevé que ce dernier a déposé une plainte auprès des autorités pénales genevoises. Il incombera, le cas échéant, à ces autorités, de concert avec l'OFJ, de prendre les mesures qui pourraient s'avérer utiles.</w:t>
      </w:r>
    </w:p>
    <w:p>
      <w:r>
        <w:rPr>
          <w:b/>
        </w:rPr>
        <w:t>E. 5</w:t>
      </w:r>
    </w:p>
    <w:p>
      <w:r>
        <w:t>Au surplus, l'on ne décèle dans le dossier aucun autre motif pouvant justi- fier la mise en liberté du recourant. Le recours doit partant être rejeté.</w:t>
      </w:r>
    </w:p>
    <w:p>
      <w:r>
        <w:rPr>
          <w:b/>
        </w:rPr>
        <w:t>E. 6</w:t>
      </w:r>
    </w:p>
    <w:p>
      <w:r>
        <w:t>Le recourant demande l’assistance judiciaire et la nomination d'un avocat d'office. Selon l’art. 65 al. 1 de la loi fédérale du 20 décembre 1968 sur la procédure administrative (PA; RS 172.021, applicable par renvoi de l’art. 39 al. 2 let. b LOAP ainsi que de l’art. 12 al. 1 EIMP), l'assistance judiciaire est accordée à la partie dont les conclusions ne sont pas vouées à l’échec. Des conclusions doivent être considérées comme vouées à l'échec lorsque les risques de perdre l'emportent nettement sur les chances de gagner, alors même qu'elles ne seraient pas manifestement mal fondées ou abusi- ves (arrêts du Tribunal pénal fédéral RR.2007.176 du 11 décembre 2007, consid. 3; RR.2007.31 du 21 mars 2007, consid. 3). Tel est le cas en l'es- pèce. Le recourant a en effet fondé presque entièrement son recours sur un droit et des références jurisprudentielles et doctrinales qui ne sont pas applicables en matière d'entraide, en omettant ainsi de se référer à la juris- prudence constante rendue dans ce dernier domaine. S'il avait considéré celle-ci, il aurait constaté, en application de la jurisprudence restrictive rap-</w:t>
      </w:r>
    </w:p>
    <w:p>
      <w:r>
        <w:t>- 9 -</w:t>
      </w:r>
    </w:p>
    <w:p>
      <w:r>
        <w:t>pelée ci-dessus, que son recours était voué à l'échec. L’assistance judiciai- re doit partant être refusée.</w:t>
      </w:r>
    </w:p>
    <w:p>
      <w:r>
        <w:rPr>
          <w:b/>
        </w:rPr>
        <w:t>E. 7</w:t>
      </w:r>
    </w:p>
    <w:p>
      <w:r>
        <w:t>Les frais de procédure sont mis à charge du recourant qui succombe (art. 63 al. 1 PA). L’émolument judiciaire, calculé conformément à l’art. 5 du règlement du 31 août 2010 sur les frais, émoluments, dépens et indemnités de la procédure pénale fédérale (RFPPF; RS 173.713.162; v. art. 63 al. 5 PA) sera fixé, compte tenu de la situation financière du recourant, à CHF 1'000.--.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