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CR.2023.3 vom 21. März 2023</w:t>
      </w:r>
    </w:p>
    <w:p>
      <w:r>
        <w:t>Bundesstrafgericht, 2023-03-21, IT</w:t>
      </w:r>
    </w:p>
    <w:p>
      <w:r>
        <w:rPr>
          <w:b/>
        </w:rPr>
        <w:t xml:space="preserve">Quelle: </w:t>
      </w:r>
      <w:r>
        <w:t>https://mcp.opencaselaw.ch/entscheid/bstger_CR.2023.3</w:t>
      </w:r>
    </w:p>
    <w:p>
      <w:r>
        <w:t>FR: TPF CR.2023.3 du 21 mars 2023</w:t>
      </w:r>
    </w:p>
    <w:p>
      <w:r>
        <w:t>IT: TPF CR.2023.3 del 21 marzo 2023</w:t>
      </w:r>
    </w:p>
    <w:p>
      <w:pPr>
        <w:pStyle w:val="Heading2"/>
      </w:pPr>
      <w:r>
        <w:t>Regeste</w:t>
      </w:r>
    </w:p>
    <w:p>
      <w:r>
        <w:t>Istanza di revisione della decisione RR.2023.25 del 9 marzo 2023 della Corte dei reclami penali del Tribunale penale federale (art. 37 cpv. 2 lett. a, 38 a, 40 cpv. 1 LOAP, 121-129 LTF)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A titolo eccezionale, la presente sentenza è redatta in lingua italiana (art. 33a cpv. 2 PA, applicabile su rinvio dell’art. 39 cpv. 2 lett. b LOAP per analogia), con- siderato che l’istanza di revisione è compilata in tale lingua e che, secondo quanto esposto dal patrocinatore dell’istante, la lingua tedesca sarebbe “scono- sciuta agli organi della società, che conoscono invece la lingua italiana” (istanza di revisione del 17 marzo 2023, pag. 3).</w:t>
      </w:r>
    </w:p>
    <w:p>
      <w:r>
        <w:rPr>
          <w:b/>
        </w:rPr>
        <w:t>E. 1.2</w:t>
      </w:r>
    </w:p>
    <w:p>
      <w:r>
        <w:t>La Corte d'appello giudica gli appelli e le domande di revisione conformemente agli art. 38a e 40 LOAP. Giusta l’art. 40 cpv. 1 LOAP, gli articoli 121–129 della legge del 17 giugno 2005 sul Tribunale federale (LTF; RS 173.110) si applicano per analogia alla revisione, all’interpretazione e alla rettifica delle decisioni delle corti dei reclami penali di cui all’art. 37 cpv. 2 LOAP.</w:t>
      </w:r>
    </w:p>
    <w:p>
      <w:r>
        <w:rPr>
          <w:b/>
        </w:rPr>
        <w:t>E. 1.3</w:t>
      </w:r>
    </w:p>
    <w:p>
      <w:r>
        <w:t>Nel caso di specie, la decisione RR.2023.25 della CRP del 9 marzo 2023 è stata emanata in applicazione dell’art. 37 cpv. 2 lett. a LOAP (assistenza giudiziaria internazionale). La Corte d’appello è dunque di principio competente per statuire sulla richiesta di revisione in oggetto.</w:t>
      </w:r>
    </w:p>
    <w:p>
      <w:r>
        <w:rPr>
          <w:b/>
        </w:rPr>
        <w:t>E. 2.1</w:t>
      </w:r>
    </w:p>
    <w:p>
      <w:r>
        <w:t>Giusta l’art. 40 cpv. 2 LOAP, i motivi che l’istante avrebbe potuto invocare in un ricorso contro la decisione della CRP non sono proponibili come motivi di revi- sione. Il ricorso al Tribunale federale (di seguito: TF) contro una decisione nel campo dell’assistenza giudiziaria internazionale in materia penale deve essere depositato entro dieci giorni dalla notificazione del testo integrale della decisione (art. 100 cpv. 2 lett. b LTF).</w:t>
      </w:r>
    </w:p>
    <w:p>
      <w:r>
        <w:rPr>
          <w:b/>
        </w:rPr>
        <w:t>E. 2.2</w:t>
      </w:r>
    </w:p>
    <w:p>
      <w:r>
        <w:t>Nel caso concreto, l’istanza di revisione è stata presentata il 17 marzo 2023, os- sia quattro giorni dopo l’intimazione (13 marzo 2023) della decisione della CRP del 9 marzo 2023. Ne consegue che, al momento dell’inoltro dell’istanza in pa- rola, non solo la decisione della CRP non era ancora cresciuta in giudicato, ma l’istante avrebbe ancora potuto presentare un ricorso al TF, cosa che del resto essa sembra intenzionata a fare (cfr. istanza di revisione del 17 marzo 2023, pag. 2). In siffatte circostanze, l’istanza di revisione non può che essere dichia- rata inammissibile (art. 40 cpv. 2 LOAP).</w:t>
      </w:r>
    </w:p>
    <w:p>
      <w:r>
        <w:t>- 4 -</w:t>
      </w:r>
    </w:p>
    <w:p>
      <w:r>
        <w:rPr>
          <w:b/>
        </w:rPr>
        <w:t>E. 3</w:t>
      </w:r>
    </w:p>
    <w:p>
      <w:r>
        <w:t>L’istante, soccombente, sopporta le spese processuali cagionate (art. 428 cpv. 1 cum art. 416 CPP). La tassa di giustizia di CHF 500.-, fissata in applicazione degli art. 73 LOAP cum 5 e 7bis del Regolamento del Tribunale penale federale del 31 agosto 2010 sulle spese, gli emolumenti, le ripetibili e le indennità della pro- cedura penale federale (RSPPF; RS 173.713.162), è posta a carico dell’istante.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