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CR.2023.13 vom 27. November 2023</w:t>
      </w:r>
    </w:p>
    <w:p>
      <w:r>
        <w:t>Bundesstrafgericht, 2023-11-27, IT</w:t>
      </w:r>
    </w:p>
    <w:p>
      <w:r>
        <w:rPr>
          <w:b/>
        </w:rPr>
        <w:t xml:space="preserve">Quelle: </w:t>
      </w:r>
      <w:r>
        <w:t>https://mcp.opencaselaw.ch/entscheid/bstger_CR.2023.13</w:t>
      </w:r>
    </w:p>
    <w:p>
      <w:r>
        <w:t>FR: TPF CR.2023.13 du 27 novembre 2023</w:t>
      </w:r>
    </w:p>
    <w:p>
      <w:r>
        <w:t>IT: TPF CR.2023.13 del 27 novembre 2023</w:t>
      </w:r>
    </w:p>
    <w:p>
      <w:pPr>
        <w:pStyle w:val="Heading2"/>
      </w:pPr>
      <w:r>
        <w:t>Regeste</w:t>
      </w:r>
    </w:p>
    <w:p>
      <w:r>
        <w:t>Revisione decisione BK (Art. 410 CPP / Art. 40 LOAP) ; Ordinanza della Corte penale (art.20 cpv. 1 lett. a in relazione con l'art. 393 cpv. 1 lett. b CPP), Retribuzione del difensore d'ufficio (art. 135 cpv. 3 lett. a CPP)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Corte d'appello del TPF giudica gli appelli e le domande di revisione confor- memente all’art. 38a della legge del 19 marzo 2010 sull’organizzazione delle au- torità penali della Confederazione (RS 173.71; LOAP).</w:t>
      </w:r>
    </w:p>
    <w:p>
      <w:r>
        <w:rPr>
          <w:b/>
        </w:rPr>
        <w:t>E. 1.2</w:t>
      </w:r>
    </w:p>
    <w:p>
      <w:r>
        <w:t>Nel caso di specie, la decisione BB.2023.119 della Corte dei reclami penali del TPF del 2 novembre 2023 è stata emanata in applicazione degli art. 393 cpv. 1 lett. b del Codice di diritto processuale penale svizzero del 5 ottobre 2007 (CPP; RS 312.0) e dell’art. 37 cpv. 1 LOAP. La Corte d’appello è dunque di principio competente per statuire sulla richiesta di revisione in oggetto.</w:t>
      </w:r>
    </w:p>
    <w:p>
      <w:r>
        <w:rPr>
          <w:b/>
        </w:rPr>
        <w:t>E. 2.1</w:t>
      </w:r>
    </w:p>
    <w:p>
      <w:r>
        <w:t>Conformemente all’art. 410 cpv. 1 CPP, la via della revisione è aperta contro una sentenza passata in giudicato, un decreto d’accusa, una decisione giudiziaria successiva o una decisione emanata nella procedura indipendente in materia di misure. Non sono tuttavia suscettibili di revisione le decisioni di natura puramente proce- durale e le decisioni relative alle spese e/o alle indennità, compresa la retribu- zione del difensore d'ufficio o la consulenza legale gratuita (JACQUEMOUD-ROS- SARI, Commentaire romand CPP, 2019, n. 16 ad art. 410; HEER, Basler Kom- mentar, StPO, 2014, n. 30 ad art. 410).</w:t>
      </w:r>
    </w:p>
    <w:p>
      <w:r>
        <w:rPr>
          <w:b/>
        </w:rPr>
        <w:t>E. 2.2</w:t>
      </w:r>
    </w:p>
    <w:p>
      <w:r>
        <w:t>Nel caso concreto, l’avv. A. ha impugnato unicamente la decisione sulla sua re- tribuzione, che non è suscettibile di revisione. Occorre inoltre rilevare che l’istante, anche nel merito, non ha invocato nessuno dei motivi di revisione previsti dall'art. 410 CPP. Egli si è infatti limitato a conte- stare la ripartizione della tassa di giustizia operata dalla Corte dei reclami penali senza prevalersi dell’esistenza di nuovi fatti o nuovi mezzi di prova che potreb- bero costituire un motivo di revisione ai sensi dell’art. 410 CPP. Ora, la revisione è un rimedio giuridico straordinario che non può essere utilizzato per mettere in discussione la valutazione delle prove, per correggere un errore di diritto, per fare valere un approccio giuridico differente o per rimediare a vizi procedurali (JAC- QUEMOUD-ROSSARI, Commentaire romand CPP, 2019, n. 3 ad art. 410 con</w:t>
      </w:r>
    </w:p>
    <w:p>
      <w:r>
        <w:t>- 4 - riferimenti ivi citati). Le critiche mosse dall’istante nel caso di specie, di natura puramente appellatoria, non possono di conseguenza costituire motivo di revi- sione. Per questi motivi, l’istanza di revisione presentata dall’avv. A. è manifestamente irricevibile.</w:t>
      </w:r>
    </w:p>
    <w:p>
      <w:r>
        <w:rPr>
          <w:b/>
        </w:rPr>
        <w:t>E. 3</w:t>
      </w:r>
    </w:p>
    <w:p>
      <w:r>
        <w:t>L’istante, soccombente, sopporta le spese processuali cagionate (art. 428 cpv. 1 cum art. 416 CPP). La tassa di giustizia di CHF 500.-, fissata in applicazione degli art. 73 LOAP cum 5 e 7bis del Regolamento del Tribunale penale federale del 31 agosto 2010 sulle spese, gli emolumenti, le ripetibili e le indennità della pro- cedura penale federale (RSPPF; RS 173.713.162), è posta a carico dell’istante.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