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CR.2021.19 vom 8. November 2021</w:t>
      </w:r>
    </w:p>
    <w:p>
      <w:r>
        <w:t>Bundesstrafgericht, 2021-11-08, IT</w:t>
      </w:r>
    </w:p>
    <w:p>
      <w:r>
        <w:rPr>
          <w:b/>
        </w:rPr>
        <w:t xml:space="preserve">Quelle: </w:t>
      </w:r>
      <w:r>
        <w:t>https://mcp.opencaselaw.ch/entscheid/bstger_CR.2021.19</w:t>
      </w:r>
    </w:p>
    <w:p>
      <w:r>
        <w:t>FR: TPF CR.2021.19 du 8 novembre 2021</w:t>
      </w:r>
    </w:p>
    <w:p>
      <w:r>
        <w:t>IT: TPF CR.2021.19 del 8 novembre 2021</w:t>
      </w:r>
    </w:p>
    <w:p>
      <w:pPr>
        <w:pStyle w:val="Heading2"/>
      </w:pPr>
      <w:r>
        <w:t>Regeste</w:t>
      </w:r>
    </w:p>
    <w:p>
      <w:r>
        <w:t>Istanza di revisione della decisione RR.2020.227-228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RR.2020.227-228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1.100.050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