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CR.2020.9 vom 10. Juni 2020</w:t>
      </w:r>
    </w:p>
    <w:p>
      <w:r>
        <w:t>Bundesstrafgericht, 2020-06-10, DE</w:t>
      </w:r>
    </w:p>
    <w:p>
      <w:r>
        <w:rPr>
          <w:b/>
        </w:rPr>
        <w:t xml:space="preserve">Quelle: </w:t>
      </w:r>
      <w:r>
        <w:t>https://mcp.opencaselaw.ch/entscheid/bstger_CR.2020.9</w:t>
      </w:r>
    </w:p>
    <w:p>
      <w:r>
        <w:t>FR: TPF CR.2020.9 du 10 juin 2020</w:t>
      </w:r>
    </w:p>
    <w:p>
      <w:r>
        <w:t>IT: TPF CR.2020.9 del 10 giugno 2020</w:t>
      </w:r>
    </w:p>
    <w:p>
      <w:pPr>
        <w:pStyle w:val="Heading2"/>
      </w:pPr>
      <w:r>
        <w:t>Regeste</w:t>
      </w:r>
    </w:p>
    <w:p>
      <w:r>
        <w:t>Nichtanhandnahmeverfügung (Art. 310 i.V.m. Art. 322 Abs. 2 StPO) Revision gegen den Beschluss der Beschwerdekammer BB.2020.46-47 vom 9. April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des Gesuchstellers um Gewährung der unentgeltlichen Rechtspflege für das Revisionsverfahren wird abgewiesen.</w:t>
      </w:r>
    </w:p>
    <w:p>
      <w:r>
        <w:rPr>
          <w:b/>
        </w:rPr>
        <w:t>E. 2</w:t>
      </w:r>
    </w:p>
    <w:p>
      <w:r>
        <w:t>Auf das Revisionsgesuch vom 9. Mai 2020 gegen den Beschluss der Beschwer- dekammer BB.2020.46-47 vom 9. April 2020 wird nicht eingetreten.</w:t>
      </w:r>
    </w:p>
    <w:p>
      <w:r>
        <w:rPr>
          <w:b/>
        </w:rPr>
        <w:t>E. 3</w:t>
      </w:r>
    </w:p>
    <w:p>
      <w:r>
        <w:t>Die Gerichtsgebühr von Fr. 300.– wird dem Gesuchsteller auferlegt.</w:t>
      </w:r>
    </w:p>
    <w:p>
      <w:r>
        <w:rPr>
          <w:b/>
        </w:rPr>
        <w:t>E. 4</w:t>
      </w:r>
    </w:p>
    <w:p>
      <w:r>
        <w:t>Es werden keine Parteientschädigungen ausgerichtet. Im Namen der Berufungskammer des Bundesstrafgerichts</w:t>
      </w:r>
    </w:p>
    <w:p>
      <w:r>
        <w:t>Der Vorsitzende Der Gerichtsschreiber</w:t>
      </w:r>
    </w:p>
    <w:p>
      <w:r>
        <w:t>Zustellung an (Gerichtsurkunde): - A. - Bundesanwaltschaft</w:t>
      </w:r>
    </w:p>
    <w:p>
      <w:r>
        <w:t>Kopie an (brevi manu): - Beschwerdekammer des Bundesstrafgerichts Nach Eintritt der Rechtskraft mitzuteilen an: - Bundesanwaltschaft, Urteilsvollzug und Vermögensverwaltung</w:t>
      </w:r>
    </w:p>
    <w:p>
      <w:r>
        <w:t>- 7 - Rechtsmittelbelehrung</w:t>
      </w:r>
    </w:p>
    <w:p>
      <w:r>
        <w:t>Beschwerde an das Bundesgericht</w:t>
      </w:r>
    </w:p>
    <w:p>
      <w:r>
        <w:t>Dieser Beschluss kann innert 30 Tagen nach Eröffnung der vollständigen Ausfertigung mit Beschwerde in Strafsachen beim Bundesgericht angefochten werden. Das Beschwerderecht und die übrigen Zulässigkeits- voraussetzungen sind in den Art. 78 – 81 und 90 ff. des Bundesgesetzes über das Bundesgericht vom 17. Juni 2005 (BGG) geregelt. Die begründete Beschwerdeschrift ist beim Bundesgericht, 1000 Lausanne 14, einzureichen.</w:t>
      </w:r>
    </w:p>
    <w:p>
      <w:r>
        <w:t>Versand 17. Juni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