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CR.2020.20 vom 7. Oktober 2020</w:t>
      </w:r>
    </w:p>
    <w:p>
      <w:r>
        <w:t>Bundesstrafgericht, 2020-10-07, IT</w:t>
      </w:r>
    </w:p>
    <w:p>
      <w:r>
        <w:rPr>
          <w:b/>
        </w:rPr>
        <w:t xml:space="preserve">Quelle: </w:t>
      </w:r>
      <w:r>
        <w:t>https://mcp.opencaselaw.ch/entscheid/bstger_CR.2020.20</w:t>
      </w:r>
    </w:p>
    <w:p>
      <w:r>
        <w:t>FR: TPF CR.2020.20 du 7 octobre 2020</w:t>
      </w:r>
    </w:p>
    <w:p>
      <w:r>
        <w:t>IT: TPF CR.2020.20 del 7 ottobre 2020</w:t>
      </w:r>
    </w:p>
    <w:p>
      <w:pPr>
        <w:pStyle w:val="Heading2"/>
      </w:pPr>
      <w:r>
        <w:t>Regeste</w:t>
      </w:r>
    </w:p>
    <w:p>
      <w:r>
        <w:t>Istanza di revisione della decisione RR.2019.313 del 28 aprile 2020 della Corte dei reclami penali del Tribunale penale federale (art. 37 cpv. 2 lett. a, 38 a, 40 cpv. 1 LOAP, 121-129 LTF)</w:t>
      </w:r>
    </w:p>
    <w:p>
      <w:pPr>
        <w:pStyle w:val="Heading2"/>
      </w:pPr>
      <w:r>
        <w:t>Erwägungen</w:t>
      </w:r>
    </w:p>
    <w:p>
      <w:r>
        <w:rPr>
          <w:b/>
        </w:rPr>
        <w:t>E. 1</w:t>
      </w:r>
    </w:p>
    <w:p>
      <w:r>
        <w:t>lett. d LTF).</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RR.2019.313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1C_253/2020 del 19 giugno</w:t>
      </w:r>
    </w:p>
    <w:p>
      <w:r>
        <w:t>- 4 - 2020. Ne discende che la predetta sentenza del TF non si è sostituita alla sen- tenza RR.2019.313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RR.2019.313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w:t>
      </w:r>
    </w:p>
    <w:p>
      <w:r>
        <w:rPr>
          <w:b/>
        </w:rPr>
        <w:t>E. 1.3.1</w:t>
      </w:r>
    </w:p>
    <w:p>
      <w:r>
        <w:t>La sentenza RR.2019.313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RR.2019.313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