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CR.2019.7 vom 7. November 2019</w:t>
      </w:r>
    </w:p>
    <w:p>
      <w:r>
        <w:t>Bundesstrafgericht, 2019-11-07, DE</w:t>
      </w:r>
    </w:p>
    <w:p>
      <w:r>
        <w:rPr>
          <w:b/>
        </w:rPr>
        <w:t xml:space="preserve">Quelle: </w:t>
      </w:r>
      <w:r>
        <w:t>https://mcp.opencaselaw.ch/entscheid/bstger_CR.2019.7</w:t>
      </w:r>
    </w:p>
    <w:p>
      <w:r>
        <w:t>FR: TPF CR.2019.7 du 7 novembre 2019</w:t>
      </w:r>
    </w:p>
    <w:p>
      <w:r>
        <w:t>IT: TPF CR.2019.7 del 7 novembre 2019</w:t>
      </w:r>
    </w:p>
    <w:p>
      <w:pPr>
        <w:pStyle w:val="Heading2"/>
      </w:pPr>
      <w:r>
        <w:t>Regeste</w:t>
      </w:r>
    </w:p>
    <w:p>
      <w:r>
        <w:t>Revisionsgesuch (Art. 410 ff. StPO)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Juni 2012 E. 1.2; SCHMID, Praxiskommentar, 3. Aufl. 2018, N. 2 ad Art. 453 StPO; MOREILLON/PAREIN-REYMOND, Petit Commentaire, 2. Aufl. 2016, N. 3 ad Art. 453 StPO); ̶ im konkreten Fall die frühere Revisionsinstanz – das Bundesgericht – noch vorhanden ist und sich mit Urteil 6B_879/2018 vom 26. April 2019 mit der betreffenden Strafsache bereits auseinandergesetzt hat; ̶ aufgrund des oben Gesagten die Berufungskammer mangels Zuständigkeit nicht auf das Revisionsgesuch eintreten kann; ̶ in Anwendung von Art. 73 Abs. 1 lit. a und b sowie Abs. 3 lit. c StBOG i.V.m. Art. 1 Abs. 4, Art. 5 und Art. 7bis des Reglements des Bundesstrafgerichts vom 31. August 2010 über die Kosten, Gebühren und Entschädigungen in Bundesstrafsachen (BStKR; SR 173.713.162) eine Gebühr von Fr. 200.-- festzusetzen ist.</w:t>
      </w:r>
    </w:p>
    <w:p>
      <w:r>
        <w:t>- 4 - 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