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CR.2019.2 vom 10. Juli 2019</w:t>
      </w:r>
    </w:p>
    <w:p>
      <w:r>
        <w:t>Bundesstrafgericht, 2019-07-10, FR</w:t>
      </w:r>
    </w:p>
    <w:p>
      <w:r>
        <w:rPr>
          <w:b/>
        </w:rPr>
        <w:t xml:space="preserve">Quelle: </w:t>
      </w:r>
      <w:r>
        <w:t>https://mcp.opencaselaw.ch/entscheid/bstger_CR.2019.2</w:t>
      </w:r>
    </w:p>
    <w:p>
      <w:r>
        <w:t>FR: TPF CR.2019.2 du 10 juillet 2019</w:t>
      </w:r>
    </w:p>
    <w:p>
      <w:r>
        <w:t>IT: TPF CR.2019.2 del 10 luglio 2019</w:t>
      </w:r>
    </w:p>
    <w:p>
      <w:pPr>
        <w:pStyle w:val="Heading2"/>
      </w:pPr>
      <w:r>
        <w:t>Regeste</w:t>
      </w:r>
    </w:p>
    <w:p>
      <w:r>
        <w:t>Révision (art. 410 CPP en lien avec l'art. 60 al. 3 CPP)</w:t>
      </w:r>
    </w:p>
    <w:p>
      <w:pPr>
        <w:pStyle w:val="Heading2"/>
      </w:pPr>
      <w:r>
        <w:t>Erwägungen</w:t>
      </w:r>
    </w:p>
    <w:p>
      <w:r>
        <w:rPr>
          <w:b/>
        </w:rPr>
        <w:t>E. 24</w:t>
      </w:r>
    </w:p>
    <w:p>
      <w:r>
        <w:t>octobre 2018 consid. 2.3; JEANNERET/KUHN, Précis de procédure pénale, 2e éd., 2018, n° 19118; FINGERHUTH, in Kommentar zur Schweizerischen Strafprozessordung, 2e éd. 2014, n° 73 ad art. 410 CPP; HEER, in Basler Kommen- tar, Schweizerische Strafprozesssordnung/Jugendstrafprozessordnung 2e éd. 2014 n°14 ad art. 410 CPP);  conformément au texte clair de l’art. 410 al. 1 CPP, la voie de la révision est ou- verte contre un jugement entré en force ou une ordonnance pénale, une décision judiciaire ultérieure ou une décision rendue dans une procédure indépendante en matière de mesures;</w:t>
      </w:r>
    </w:p>
    <w:p>
      <w:r>
        <w:t>- 4 -  sont des jugements, les prononcés qui tranchent sur le fond des questions civiles ou pénales, les autres prononcés revêtent la forme de décisions ou d’ordonnances (art. 80 al. 1 CPP) et ces derniers ne sont pas susceptibles de révision (ATF 141 IV 269 consid. 2.2.2, TPF 2011 115 consid. 2 et les réf. cit., décisions du Tribunal pénal fédéral BB.2017.95 du 3 juillet 2017, BB.2016.353 du 5 octobre 2016, BB.2016.89 du 9 mai 2016; BB.2016.30 du 18 février 2016, BB.2015.108 du 7 décembre 2015 consid. 1.1 in fine);  seul un jugement au fond entré en force peut faire l’objet d’une révision au sens de l’art. 410 CPP (arrêt du Tribunal fédéral 6B_30/2018 du 21 juin 2018 con- sid. 1.2);  la décision querellée n’est manifestement pas un jugement au fond entré en force au sens des dispositions susmentionnées et la voie de la révision n’est ainsi pas ouverte à son encontre;  la présente demande de révision est ainsi manifestement irrecevable;  selon l’art. 412 CPP, la juridiction d’appel examine préalablement la demande de révision en procédure écrite (al. 1) et elle n’entre pas en matière si la demande est manifestement irrecevable (al. 2);  le Tribunal renonce à un échange d’écritures et n’entre pas en matière sur la de- mande de révision dans les cas où celle-ci est manifestement irrecevable (art. 412 al. 2 CPP, art. 412 al. 3 CPP a contrario; SCHMID, Praxiskommentar, 3e éd. 2018, 412 n° 4);  au vu des considérants qui précèdent, il n’est pas entré en matière sur la demande de révision;  il n’est pas perçu de frais pour la présente décision.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