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CN.2024.28 vom 5. Februar 2025</w:t>
      </w:r>
    </w:p>
    <w:p>
      <w:r>
        <w:t>Bundesstrafgericht, 2025-02-05, FR</w:t>
      </w:r>
    </w:p>
    <w:p>
      <w:r>
        <w:rPr>
          <w:b/>
        </w:rPr>
        <w:t xml:space="preserve">Quelle: </w:t>
      </w:r>
      <w:r>
        <w:t>https://mcp.opencaselaw.ch/entscheid/bstger_CN.2024.28</w:t>
      </w:r>
    </w:p>
    <w:p>
      <w:r>
        <w:t>FR: TPF CN.2024.28 du 5 février 2025</w:t>
      </w:r>
    </w:p>
    <w:p>
      <w:r>
        <w:t>IT: TPF CN.2024.28 del 5 febbraio 2025</w:t>
      </w:r>
    </w:p>
    <w:p>
      <w:pPr>
        <w:pStyle w:val="Heading2"/>
      </w:pPr>
      <w:r>
        <w:t>Regeste</w:t>
      </w:r>
    </w:p>
    <w:p>
      <w:r>
        <w:t>Réalisation anticipée de biens séquestrés (art. 266 al. 5 CPP) Appels contre le jugement SK.2022.22 du 17 juin 2022</w:t>
      </w:r>
    </w:p>
    <w:p>
      <w:pPr>
        <w:pStyle w:val="Heading2"/>
      </w:pPr>
      <w:r>
        <w:t>Erwägungen</w:t>
      </w:r>
    </w:p>
    <w:p>
      <w:r>
        <w:rPr>
          <w:b/>
        </w:rPr>
        <w:t>E. 1</w:t>
      </w:r>
    </w:p>
    <w:p>
      <w:r>
        <w:t>A titre liminaire, la Cour constate que la requête à l’origine de la présente procédure, à savoir le courrier de Me Tirelli du 18 septembre 2024, a trait à la réalisation du bien immobilier sis […], sans que la mesure de séquestre ne soit remise en cause en tant que telle (v. en ce sens le courrier de Me Tirelli du 18 septembre 2024 [CAR CA.2024.13 2.102.036] : « […] je vous indique soutenir [la requête de B.] visant à ce qu’il soit autorisé à vendre de gré à gré l’appartement dont il est co-propriétaire à […] »). Dès lors, seul ce point sera examiné dans le cadre de la présente cause.</w:t>
      </w:r>
    </w:p>
    <w:p>
      <w:r>
        <w:rPr>
          <w:b/>
        </w:rPr>
        <w:t>E. 2</w:t>
      </w:r>
    </w:p>
    <w:p>
      <w:r>
        <w:t>Une décision portant uniquement sur la réalisation anticipée de biens séquestrés ressort de la gestion au sens large des biens placés sous séquestre et ne constitue pas une mesure de contrainte (arrêts du Tribunal fédéral 1B_586/2020 du 2 février 2021 consid. 2 ; 1B_240/2014 du 11 juillet 2014 consid. 2).</w:t>
      </w:r>
    </w:p>
    <w:p>
      <w:r>
        <w:rPr>
          <w:b/>
        </w:rPr>
        <w:t>E. 3</w:t>
      </w:r>
    </w:p>
    <w:p>
      <w:r>
        <w:t>En vertu de l’art. 266 al. 5 CPP, les objets saisis sujets à une dépréciation rapide ou à un entretien dispendieux peuvent être réalisés immédiatement selon les dispositions de la LP, le produit étant frappé de séquestre.</w:t>
      </w:r>
    </w:p>
    <w:p>
      <w:r>
        <w:rPr>
          <w:b/>
        </w:rPr>
        <w:t>E. 4</w:t>
      </w:r>
    </w:p>
    <w:p>
      <w:r>
        <w:t>La réalisation anticipée des biens est une exception au principe général qui veut que le sort des objets séquestrés soit décidé dans le jugement final (art. 267 al. 3 CPP ; LEMBO/NARUSHAY, Commentaire romand, 2e éd. 2019, n. 27 ad art. 266 CPP). Savoir si un entretien est onéreux ou dispendieux dépend du rapport entre la valeur des biens séquestrés et le montant des dépenses d'entretien, en tenant compte de la durée probable de celui-ci, soit en l'occurrence de la durée de la procédure de réalisation, respectivement celle de la procédure pénale. Les frais d'entretien ou de dépôt sont</w:t>
      </w:r>
    </w:p>
    <w:p>
      <w:r>
        <w:t>- 8 - qualifiés de dispendieux s'ils apparaissent disproportionnés par rapport à la valeur des biens saisis, à laquelle s'ajoute éventuellement celle de leurs revenus (ATF 111 IV 41 consid. 3 ; arrêt du Tribunal fédéral 1B_586/2020 du 2 février 2021 consid. 4.1 et les références citées). Compte tenu de l’atteinte grave à la garantie de la propriété (art. 26 de la Constitution fédérale du 18 avril 1999 [Cst. ; RS 101]) que représente la réalisation anticipée d’un bien séquestré, ce procédé doit être appliqué restrictivement (148 IV 74 consid. 3.2 et les références citées). Il doit respecter les conditions énoncées à l’art. 36 al. 1 à 3 Cst. et ainsi reposer sur une base légale suffisante, répondre à un intérêt public et respecter le principe de la proportionnalité (LEMBO/NARUSHAY, op. cit., n. 27 ad art. 266 CPP et les références citées).</w:t>
      </w:r>
    </w:p>
    <w:p>
      <w:r>
        <w:rPr>
          <w:b/>
        </w:rPr>
        <w:t>E. 5</w:t>
      </w:r>
    </w:p>
    <w:p>
      <w:r>
        <w:t>En l’espèce, B. avance les arguments suivants à l’appui de sa requête. Il soutient, d’une part, qu’il serait urgent, en raison de son mauvais état de santé, qu’il puisse rembourser sa fondation LPP, et, d’autre part, que sa situation financière serait précaire, ce qui serait attesté par la décision de l’Office de l’assurance-invalidité du 22 février 2024 le mettant au bénéfice d’une rente entière de l’assurance-invalidité, ce qui porterait gravement, et de manière disproportionnée, atteinte à son patrimoine, ajoutant que sa situation financière précaire serait l’unité de mesure pour apprécier le caractère dispendieux ou non de l’entretien de l’objet séquestré. Il fait en outre valoir que le fait que les conditions de l’art. 266 al. 5 CPP ne seraient pas réunies n’empêcherait pas la vente, dès lors qu’elle est en l’espèce requise par le propriétaire du bien immobilier lui-même. Enfin, il allègue que la Confédération ne pâtirait pas de cette vente.</w:t>
      </w:r>
    </w:p>
    <w:p>
      <w:r>
        <w:rPr>
          <w:b/>
        </w:rPr>
        <w:t>E. 6</w:t>
      </w:r>
    </w:p>
    <w:p>
      <w:r>
        <w:t>Or, ces motifs ne sont pas de nature à justifier la vente du bien immobilier séquestré.</w:t>
      </w:r>
    </w:p>
    <w:p>
      <w:r>
        <w:rPr>
          <w:b/>
        </w:rPr>
        <w:t>E. 7</w:t>
      </w:r>
    </w:p>
    <w:p>
      <w:r>
        <w:t>Premièrement, B., qui précise que des membres de sa famille seraient intéressés à acheter le bien immobilier aux conditions financières qu’il a émises et qu’un montant de CHF 165'000.- pourrait être bloqué sur un compte de la Confédération ou en main du notaire après la vente et la déduction des dettes et remboursement de sa fondation LPP, omet de prendre en considération que le produit de la vente est frappé de séquestre en vertu de l’art. 266 al. 5 CPP, de sorte que la réalisation anticipée de son bien immobilier ne lui permettrait pas de rembourser sa caisse de pension. Il appartiendrait en effet à la Cour de statuer sur le sort des avoirs séquestrés avant qu’un tel remboursement puisse être effectué. Or, il est rappelé que la requête de B. ne vise pas à remettre en cause le séquestre en tant que tel.</w:t>
      </w:r>
    </w:p>
    <w:p>
      <w:r>
        <w:rPr>
          <w:b/>
        </w:rPr>
        <w:t>E. 8</w:t>
      </w:r>
    </w:p>
    <w:p>
      <w:r>
        <w:t>Deuxièmement, B. ne démontre pas que le bien immobilier dont il est question en l’espèce se trouverait dans l’une ou l’autre des situations restrictives prévues par l’art. 266 al. 5 CPP (dépréciation rapide ou entretien dispendieux de l’objet sous séquestre). S’agissant en particulier de l’entretien dispendieux, en rapport avec lequel</w:t>
      </w:r>
    </w:p>
    <w:p>
      <w:r>
        <w:t>- 9 - il faudrait mettre, selon B., sa situation financière prétendument précaire, il convient de relever que l’autorité de première instance a relevé dans le jugement querellé que le prévenu disposait de moyens financiers et qu’elle a retenu un revenu annuel hypothétique de CHF 250'000.- en lien avec sa fortune immobilière (jugement SK.2022.22 consid. 9.2.2.3.5 : « […] il est ressorti de la procédure que ce dernier disposait de moyens financiers […] En outre, il encaisse probablement des loyers de sa fortune immobilière. Partant, et au vu de ce qui précède, la Cour part d’un revenu hypothétique de B. à hauteur de CHF 250’000.- par année »). Or, les éléments mis en avant par B. ne permettent pas de retenir une situation financière précaire. En particulier, la décision de l’Office de l’assurance-invalidité du 22 février 2024 le mettant au bénéfice d’une rente entière de l’assurance-invalidité, dont il est relevé au passage que la Cour n’a pas reçu la confirmation de son entrée en force de chose jugée, n’empêche pas qu’il ait de la fortune et/ou des revenus, tels que ceux évoqués dans le jugement querellé. Il est encore relevé que B. n’a pas produit de document, à plus forte raison de document attestant de sa situation financière précaire ou du caractère dispendieux de l’entretien du bien immobilier dont il est question, à l’appui de sa requête du 18 septembre 2024 complétée en date du 4 décembre 2024, étant précisé qu’un simple renvoi à d’autres pièces – qui plus est sans référence – ne saurait suffire.</w:t>
      </w:r>
    </w:p>
    <w:p>
      <w:r>
        <w:rPr>
          <w:b/>
        </w:rPr>
        <w:t>E. 9</w:t>
      </w:r>
    </w:p>
    <w:p>
      <w:r>
        <w:t>Enfin, le fait que la vente ait été requise par le propriétaire du bien immobilier lui-même et l’absence alléguée de conséquences financières pour la Confédération ne sauraient suffire à remettre en cause les éléments énoncés ci-dessus et à retenir que les conditions seraient réunies pour une réalisation anticipée du bien immobilier de B. en application de l’art. 266 al. 5 CPP, en dérogation du principe général selon lequel le sort des objets séquestrés est décidé dans le jugement final en vertu de l’art. 267 al. 3 CPP.</w:t>
      </w:r>
    </w:p>
    <w:p>
      <w:r>
        <w:rPr>
          <w:b/>
        </w:rPr>
        <w:t>E. 10</w:t>
      </w:r>
    </w:p>
    <w:p>
      <w:r>
        <w:t>Partant, la réalisation immédiate de l’immeuble séquestré sis […] appartenant à B. ne saurait être ordonnée et la requête en ce sens formée le 18 septembre 2024, puis complétée le 4 décembre 2024, par B., par l’entremise de Me Tirelli, doit par conséquent être rejetée.</w:t>
      </w:r>
    </w:p>
    <w:p>
      <w:r>
        <w:rPr>
          <w:b/>
        </w:rPr>
        <w:t>E. 11</w:t>
      </w:r>
    </w:p>
    <w:p>
      <w:r>
        <w:t>La Cour d'appel fixera les frais dans la décision finale (art. 421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