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CN.2024.10 vom 9. April 2024</w:t>
      </w:r>
    </w:p>
    <w:p>
      <w:r>
        <w:t>Bundesstrafgericht, 2024-04-09, FR</w:t>
      </w:r>
    </w:p>
    <w:p>
      <w:r>
        <w:rPr>
          <w:b/>
        </w:rPr>
        <w:t xml:space="preserve">Quelle: </w:t>
      </w:r>
      <w:r>
        <w:t>https://mcp.opencaselaw.ch/entscheid/bstger_CN.2024.10</w:t>
      </w:r>
    </w:p>
    <w:p>
      <w:r>
        <w:t>FR: TPF CN.2024.10 du 9 avril 2024</w:t>
      </w:r>
    </w:p>
    <w:p>
      <w:r>
        <w:t>IT: TPF CN.2024.10 del 9 aprile 2024</w:t>
      </w:r>
    </w:p>
    <w:p>
      <w:pPr>
        <w:pStyle w:val="Heading2"/>
      </w:pPr>
      <w:r>
        <w:t>Regeste</w:t>
      </w:r>
    </w:p>
    <w:p>
      <w:r>
        <w:t>Remplacement du défenseur d'office (art. 134 al. 2 CPP) Appel (partiel) du 9 août 2023 et appel joint (partiel) du 12 septembre 2023 contre le jugement de la Cour des affaires pénales du Tribunal pénal fédéral SK.2023.1 du 17 mars 2023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qui suivent la notification de l’expédition complète. L’observation d’un délai pour la remise d’un mé- moire en Suisse, à l’étranger ou en cas de transmission électronique est réglée à l’art. 48 al. 1 et 2 de la loi fédérale du 17 juin 2005 sur le Tribunal fédéral (Loi sur le Tribunal fédéral, LTF [RS 173.110]). La qualité pour recourir et les autres conditions de recevabilité sont réglées aux art. 78-81 et 90 ss LTF.</w:t>
      </w:r>
    </w:p>
    <w:p>
      <w:r>
        <w:t>Expédition : 9 avril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