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CN.2021.4 vom 25. März 2021</w:t>
      </w:r>
    </w:p>
    <w:p>
      <w:r>
        <w:t>Bundesstrafgericht, 2021-03-25, DE</w:t>
      </w:r>
    </w:p>
    <w:p>
      <w:r>
        <w:rPr>
          <w:b/>
        </w:rPr>
        <w:t xml:space="preserve">Quelle: </w:t>
      </w:r>
      <w:r>
        <w:t>https://mcp.opencaselaw.ch/entscheid/bstger_CN.2021.4</w:t>
      </w:r>
    </w:p>
    <w:p>
      <w:r>
        <w:t>FR: TPF CN.2021.4 du 25 mars 2021</w:t>
      </w:r>
    </w:p>
    <w:p>
      <w:r>
        <w:t>IT: TPF CN.2021.4 del 25 marzo 2021</w:t>
      </w:r>
    </w:p>
    <w:p>
      <w:pPr>
        <w:pStyle w:val="Heading2"/>
      </w:pPr>
      <w:r>
        <w:t>Regeste</w:t>
      </w:r>
    </w:p>
    <w:p>
      <w:r>
        <w:t>Berufungen (vollumfänglich) und Anschlussberufung gegen das Urteil der Strafkammer des Bundesstrafgerichts SK.2019.77 vom 26. Juni 2020 Sistierung des Verfahrens (Art. 405 Abs. 1 i.V.m. Art. 329 Abs. 2 StPO)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StPO). − Für diesen Beschluss sind keine Kosten zu erheben.</w:t>
      </w:r>
    </w:p>
    <w:p>
      <w:r>
        <w:t>Die Berufungskammer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