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CN.2021.1 vom 20. Januar 2021</w:t>
      </w:r>
    </w:p>
    <w:p>
      <w:r>
        <w:t>Bundesstrafgericht, 2021-01-20, DE</w:t>
      </w:r>
    </w:p>
    <w:p>
      <w:r>
        <w:rPr>
          <w:b/>
        </w:rPr>
        <w:t xml:space="preserve">Quelle: </w:t>
      </w:r>
      <w:r>
        <w:t>https://mcp.opencaselaw.ch/entscheid/bstger_CN.2021.1</w:t>
      </w:r>
    </w:p>
    <w:p>
      <w:r>
        <w:t>FR: TPF CN.2021.1 du 20 janvier 2021</w:t>
      </w:r>
    </w:p>
    <w:p>
      <w:r>
        <w:t>IT: TPF CN.2021.1 del 20 gennaio 2021</w:t>
      </w:r>
    </w:p>
    <w:p>
      <w:pPr>
        <w:pStyle w:val="Heading2"/>
      </w:pPr>
      <w:r>
        <w:t>Regeste</w:t>
      </w:r>
    </w:p>
    <w:p>
      <w:r>
        <w:t>Berufung gegen das Urteil der Strafkammer des Bundesstrafgerichts SK.2020.11 vom 8. Oktober 2020 Rückzug der (recte: Verzicht auf das Recht zur) Erklärung der Berufung durch einen Drittbetroffenen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BUNDESANWALTSCHAFT, vertreten durch Staatsanwalt des Bundes Kaspar Bünger,</w:t>
      </w:r>
    </w:p>
    <w:p>
      <w:r>
        <w:t>Berufungsführerin / Anklagebehörde</w:t>
      </w:r>
    </w:p>
    <w:p>
      <w:r>
        <w:rPr>
          <w:b/>
        </w:rPr>
        <w:t>E. 2</w:t>
      </w:r>
    </w:p>
    <w:p>
      <w:r>
        <w:t>Es wird festgestellt, dass Dispositivziffer 10 des Urteils der Strafkammer des Bun- desstrafgerichts SK.2020.11 vom 8. Oktober 2020 per Entscheiddatum in Rechtskraft erwachsen ist.</w:t>
      </w:r>
    </w:p>
    <w:p>
      <w:r>
        <w:rPr>
          <w:b/>
        </w:rPr>
        <w:t>E. 3</w:t>
      </w:r>
    </w:p>
    <w:p>
      <w:r>
        <w:t>Die Verfahrenskosten für das Berufungsverfahren von Fr. 200.-- sind von F. zu tra- gen.</w:t>
      </w:r>
    </w:p>
    <w:p>
      <w:r>
        <w:rPr>
          <w:b/>
        </w:rPr>
        <w:t>E. 4</w:t>
      </w:r>
    </w:p>
    <w:p>
      <w:r>
        <w:t>Es werden keine Parteientschädigungen ausgerichtet. Im Namen der Berufungskammer des Bundesstrafgerichts</w:t>
      </w:r>
    </w:p>
    <w:p>
      <w:r>
        <w:t>Die Vorsitzende Der Gerichtsschreiber</w:t>
      </w:r>
    </w:p>
    <w:p>
      <w:r>
        <w:t>Zustellung an (Gerichtsurkunde): - Bundesanwaltschaft, Herrn Kaspar Bünger - Herrn Rechtsanwalt Max Birkenmaier - Herrn Rechtsanwalt Sascha Schürch</w:t>
      </w:r>
    </w:p>
    <w:p>
      <w:r>
        <w:t>Nach Eintritt der Rechtskraft mitzuteilen an: - Strafkammer des Bundesstrafgerichts - Bundesanwaltschaft, Urteilsvollzug und Vermögensverwaltung</w:t>
      </w:r>
    </w:p>
    <w:p>
      <w:r>
        <w:t>- 8 -</w:t>
      </w:r>
    </w:p>
    <w:p>
      <w:r>
        <w:t>Rechtsmittelbelehrung</w:t>
      </w:r>
    </w:p>
    <w:p>
      <w:r>
        <w:t>Beschwerde an das Bundesgericht</w:t>
      </w:r>
    </w:p>
    <w:p>
      <w:r>
        <w:t>Dieser Beschluss kann innert 30 Tagen nach Eröffnung der vollständigen Ausfertigung mit Be- schwerde in Strafsachen beim Bundesgericht angefochten werden. Das Beschwerderecht und die übrigen Zulässigkeitsvoraussetzungen sind in den Art. 78-81 und 90 ff. des Bundesgesetzes über das Bundesgericht vom 17. Juni 2005 (BGG) geregelt. Die begründete Beschwerdeschrift ist beim Bun- desgericht, 1000 Lausanne 14, einzureichen.</w:t>
      </w:r>
    </w:p>
    <w:p>
      <w:r>
        <w:t>Versand: 21. Januar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