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CN.2019.2 vom 19. Juni 2019</w:t>
      </w:r>
    </w:p>
    <w:p>
      <w:r>
        <w:t>Bundesstrafgericht, 2019-06-19, DE</w:t>
      </w:r>
    </w:p>
    <w:p>
      <w:r>
        <w:rPr>
          <w:b/>
        </w:rPr>
        <w:t xml:space="preserve">Quelle: </w:t>
      </w:r>
      <w:r>
        <w:t>https://mcp.opencaselaw.ch/entscheid/bstger_CN.2019.2</w:t>
      </w:r>
    </w:p>
    <w:p>
      <w:r>
        <w:t>FR: TPF CN.2019.2 du 19 juin 2019</w:t>
      </w:r>
    </w:p>
    <w:p>
      <w:r>
        <w:t>IT: TPF CN.2019.2 del 19 giugno 2019</w:t>
      </w:r>
    </w:p>
    <w:p>
      <w:pPr>
        <w:pStyle w:val="Heading2"/>
      </w:pPr>
      <w:r>
        <w:t>Regeste</w:t>
      </w:r>
    </w:p>
    <w:p>
      <w:r>
        <w:t>Berufung gegen Dispositiv-Ziffer 6 des Urteils der Strafkammer des Bundesstrafgerichts SK.2018.71 vom 2. Mai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AG, vertreten durch Rechtsanwalt Michael Bopp,</w:t>
      </w:r>
    </w:p>
    <w:p>
      <w:r>
        <w:t>Drittbetroffene / Berufungsführerin</w:t>
      </w:r>
    </w:p>
    <w:p>
      <w:r>
        <w:rPr>
          <w:b/>
        </w:rPr>
        <w:t>E. 2</w:t>
      </w:r>
    </w:p>
    <w:p>
      <w:r>
        <w:t>Mai 2019 angemeldete Berufung nicht weiterverfolge und somit keine Beru- fungserklärung einreichen werde;  die Berufung CA.2019.6 der Drittbetroffenen infolge Rückzugserklärung ohne weiteren Schriftenwechsel abzuschreiben ist (Art. 403 Abs. 1 lit. c und Abs. 3 [analog] StPO);  sich die Kosten eines gerichtlichen Verfahrens und deren Verlegung grundsätz- lich nach den Art. 422 – 428 StPO bestimmen und jene eines Rechtsmittelver- fahrens von den Parteien nach Massgabe ihres Obsiegens oder Unterliegens zu tragen sind, wobei als unterliegend auch diejenige Partei gilt, die das Rechtsmit- tel zurückzieht oder auf deren Rechtsmittel nicht eingetreten wird (Art. 428 Abs. 1 StPO);</w:t>
      </w:r>
    </w:p>
    <w:p>
      <w:r>
        <w:t>- 3 -  in Anwendung von Art. 73 Abs. 1 lit. b, Abs. 2 und Abs. 3 lit. c des Bundesgeset- zes über die Organisation der Strafbehörden des Bundes (StBOG; SR 173.71) i.V.m. Art. 1, Art. 5 und Art. 7bis des Reglements des Bundesstrafgerichts vom 31. August 2010 über die Kosten, Gebühren und Entschädigungen in Bundes- strafverfahren (BStKR; SR 173.713.162; Stand am 1. Januar 2019) unpräjudiziell auf die Erhebung einer Gebühr verzichtet wird;  mangels Geltendmachung keine Parteientschädigungen auszurichten sind;  Ziffer 6 des Urteils der Strafkammer SK.2018.71 vom 2. Mai 2019 somit per Ent- scheiddatum in Rechtskraft erwachsen ist (Art. 437 Abs. 1 lit. b und Abs. 2 StPO).</w:t>
      </w:r>
    </w:p>
    <w:p>
      <w:r>
        <w:t>- 4 - Die Berufungskammer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