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CA.2024.11 vom 8. Mai 2024</w:t>
      </w:r>
    </w:p>
    <w:p>
      <w:r>
        <w:t>Bundesstrafgericht, 2024-05-08, DE</w:t>
      </w:r>
    </w:p>
    <w:p>
      <w:r>
        <w:rPr>
          <w:b/>
        </w:rPr>
        <w:t xml:space="preserve">Quelle: </w:t>
      </w:r>
      <w:r>
        <w:t>https://mcp.opencaselaw.ch/entscheid/bstger_CA.2024.11</w:t>
      </w:r>
    </w:p>
    <w:p>
      <w:r>
        <w:t>FR: TPF CA.2024.11 du 8 mai 2024</w:t>
      </w:r>
    </w:p>
    <w:p>
      <w:r>
        <w:t>IT: TPF CA.2024.11 del 8 maggio 2024</w:t>
      </w:r>
    </w:p>
    <w:p>
      <w:pPr>
        <w:pStyle w:val="Heading2"/>
      </w:pPr>
      <w:r>
        <w:t>Regeste</w:t>
      </w:r>
    </w:p>
    <w:p>
      <w:r>
        <w:t>Berufung gegen SK-Entscheid (Art. 398 StPO); Mehrfache, ungetreue Amtsführung (Art. 314 StGB); Mehrfache, qualifizierte ungetreue Geschäftsbesorgung (Art. 158 Ziff. 1 Abs. 1 und 3 StGB); Eventualiter Vergehen gegen Art. 76 aI 6 bzw. 7 BVG; Schwerer Fall von Ausnützen von Insiderinformationen (Art. 154 Abs. 1 lit. a i.V.m. Abs. 2 FinfraG, bzw. Art. 40 Abs. 1 lit. a i.V.m. Abs. 2 aBEHG); Versuchtes, mehrfaches Ausnützen von Insiderinformationen (Art. 154 Abs. 1 lit. a FinfraG bzw. Art. 40 Abs. 1 l...</w:t>
      </w:r>
    </w:p>
    <w:p>
      <w:pPr>
        <w:pStyle w:val="Heading2"/>
      </w:pPr>
      <w:r>
        <w:t>Erwägungen</w:t>
      </w:r>
    </w:p>
    <w:p>
      <w:r>
        <w:rPr>
          <w:b/>
        </w:rPr>
        <w:t>E. 1</w:t>
      </w:r>
    </w:p>
    <w:p>
      <w:r>
        <w:t>B., vertreten durch E., Berufungsführerin</w:t>
      </w:r>
    </w:p>
    <w:p>
      <w:r>
        <w:rPr>
          <w:b/>
        </w:rPr>
        <w:t>E. 2</w:t>
      </w:r>
    </w:p>
    <w:p>
      <w:r>
        <w:t>C., vertreten durch Rechtsanwalt Manuel Stengel, Berufungsführerin B u n d e s s t r a f g e r i c h t T r i b u n a l p é n a l f é d é r a l T r i b u n a l e p e n a l e f e d e r a l e T r i b u n a l p e n a l f e d e r a l</w:t>
      </w:r>
    </w:p>
    <w:p>
      <w:r>
        <w:t>Geschäftsnummer: CA.2024.11 (Hauptgeschäftsnummer: CA.2023.27)</w:t>
      </w:r>
    </w:p>
    <w:p>
      <w:r>
        <w:t>- 2 -</w:t>
      </w:r>
    </w:p>
    <w:p>
      <w:r>
        <w:rPr>
          <w:b/>
        </w:rPr>
        <w:t>E. 3</w:t>
      </w:r>
    </w:p>
    <w:p>
      <w:r>
        <w:t>Nach Zustellung des begründeten Urteils (TPF pag. 24.930.074 ff.) gingen bei der Berufungsinstanz innert gesetzlicher Frist (Art. 399 Abs. 3 StPO) schriftliche Berufungserklärungen der Bundesanwaltschaft sowie des Beschuldigten ein (Art. 399 Abs. 3 StPO). Die Bundesanwaltschaft wendete sich in ihrer Berufung gegen verschiedene Urteilspunkte im Schuld- und Strafpunkt, der Beschuldigte zunächst lediglich gegen die Bemessung der Ersatzforderung sowie die vo- rinstanzliche Kostenauflage (CA.2023.27 pag. 1.100.081 ff. und CA.2023.27 pag. 1.100.094 ff.). Die Privatklägerinnen teilten innert Frist mit, auf die Einrei- chung einer Berufungserklärung zu verzichten (CA.2023.27 pag. 1.300.001 ff.).</w:t>
      </w:r>
    </w:p>
    <w:p>
      <w:r>
        <w:t>- 4 -</w:t>
      </w:r>
    </w:p>
    <w:p>
      <w:r>
        <w:rPr>
          <w:b/>
        </w:rPr>
        <w:t>E. 4</w:t>
      </w:r>
    </w:p>
    <w:p>
      <w:r>
        <w:t>Die Gerichtsgebühr für das Berufungsverfahren CA.2024.11 wird auf Fr. 600.– festgesetzt und den Privatklägerinnen 1, 2 und 3 im Umfang von je Fr. 200.– auferlegt.</w:t>
      </w:r>
    </w:p>
    <w:p>
      <w:r>
        <w:rPr>
          <w:b/>
        </w:rPr>
        <w:t>E. 5</w:t>
      </w:r>
    </w:p>
    <w:p>
      <w:r>
        <w:t>Den Privatklägerinnen 1, 2 und 3 werden im Berufungsverfahren CA.2024.11 keine Parteientschädigungen zugesprochen.</w:t>
      </w:r>
    </w:p>
    <w:p>
      <w:r>
        <w:rPr>
          <w:b/>
        </w:rPr>
        <w:t>E. 6</w:t>
      </w:r>
    </w:p>
    <w:p>
      <w:r>
        <w:t>Über allfällige Entschädigungsansprüche der übrigen Verfahrensbeteiligten im Zusammenhang mit dem vorliegenden Beschluss wird im Rahmen des Hauptbe- rufungsverfahrens CA.2023.27 entschieden. Im Namen der Berufungskammer des Bundesstrafgerichts</w:t>
      </w:r>
    </w:p>
    <w:p>
      <w:r>
        <w:t>Der Vorsitzende Die Gerichtsschreiberin</w:t>
      </w:r>
    </w:p>
    <w:p>
      <w:r>
        <w:t>Olivier Thormann Flurina Heer</w:t>
      </w:r>
    </w:p>
    <w:p>
      <w:r>
        <w:t>- 8 - Zustellung an (Gerichtsurkunde): − Bundesanwaltschaft, Herrn Oliver Otto, a.o. Staatsanwalt des Bundes − Herrn Rechtsanwalt Hans Hofstetter − Herrn Rechtsanwalt Manuel Stengel − D., z.Hd. Frau Rechtsanwältinnen Patricia Schuler − B., z.Hd. Marc Mächler, Vorsteher des E. − Frau F. Kopie an (brevi manu): - Bundesstrafgericht</w:t>
      </w:r>
    </w:p>
    <w:p>
      <w:r>
        <w:t>Nach Eintritt der Rechtskraft mitzuteilen an: - Bundesanwaltschaft, Urteilsvollzug (unter Hinweis auf die Dispositiv-Ziffern 3 und 4 des vorliegenden Beschlusses) - In die Akten des Berufungsverfahrens mit der Geschäftsnummer CA.2023.27</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13.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