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CA.2023.29 vom 29. Januar 2024</w:t>
      </w:r>
    </w:p>
    <w:p>
      <w:r>
        <w:t>Bundesstrafgericht, 2024-01-29, IT</w:t>
      </w:r>
    </w:p>
    <w:p>
      <w:r>
        <w:rPr>
          <w:b/>
        </w:rPr>
        <w:t xml:space="preserve">Quelle: </w:t>
      </w:r>
      <w:r>
        <w:t>https://mcp.opencaselaw.ch/entscheid/bstger_CA.2023.29</w:t>
      </w:r>
    </w:p>
    <w:p>
      <w:r>
        <w:t>FR: TPF CA.2023.29 du 29 janvier 2024</w:t>
      </w:r>
    </w:p>
    <w:p>
      <w:r>
        <w:t>IT: TPF CA.2023.29 del 29 gennaio 2024</w:t>
      </w:r>
    </w:p>
    <w:p>
      <w:pPr>
        <w:pStyle w:val="Heading2"/>
      </w:pPr>
      <w:r>
        <w:t>Regeste</w:t>
      </w:r>
    </w:p>
    <w:p>
      <w:r>
        <w:t>Annuncio di appello del 16 giugno 2023 contro la sentenza della Corte penale del Tribunale penale federale SK.2022.3 del 6 giugno 2023 Riciclaggio di denaro, falsità in documenti, risarcimento equivalente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CPP contro la medesima (v. CAR pag. 1.100.005).</w:t>
      </w:r>
    </w:p>
    <w:p>
      <w:r>
        <w:t>- 4 - - la motivazione scritta della sentenza della Corte penale del TPF SK.2022.3 del</w:t>
      </w:r>
    </w:p>
    <w:p>
      <w:r>
        <w:rPr>
          <w:b/>
        </w:rPr>
        <w:t>E. 6</w:t>
      </w:r>
    </w:p>
    <w:p>
      <w:r>
        <w:t>giugno 2023 è stata ricevuta in casella postale dal suo patrocinatore il 14 dicembre 2023 e ritirata lo stesso giorno (v. estratto Track &amp; Trace, CAR pag. 1.100.082). La stessa è stata pertanto notificata a H. in data 14 dicembre 2023.</w:t>
      </w:r>
    </w:p>
    <w:p>
      <w:r>
        <w:t>- visto quanto precede, il termine di 20 giorni per la presentazione della dichiarazione d’appello secondo l’art. 399 cpv. 3 CPP ha iniziato a decorrere il 15 dicembre 2023 ed è scaduto il 3 gennaio 2024 (cfr. art. 90 CPP; RIEDO in: Basler Kommentar CPP, 2. ed. 2014, n. 28 e 31 ad art. 90 CPP);</w:t>
      </w:r>
    </w:p>
    <w:p>
      <w:r>
        <w:t>- H. non ha presentato a questa Corte alcuna dichiarazione d’appello nei termini di legge;</w:t>
      </w:r>
    </w:p>
    <w:p>
      <w:r>
        <w:t>- essendo quindi l’appello presentato da H. divenuto privo d’oggetto, questa Corte non entra nel merito della procedura CA.2023.29 che viene stralciata dai ruoli (art. 403 cpv. 1 lett. a e cpv. 3 CPP; sentenza del TF 6B_469/2015 del 17 agosto 2015 consid. 3, con rinvii).</w:t>
      </w:r>
    </w:p>
    <w:p>
      <w:r>
        <w:t>- pertanto, la sentenza della Corte penale del TPF SK.2022.3 del 6 giugno 2023 per quanto concerne H. (v. punto II. del dispositivo) è cresciuta in giudicato a partire dalla data in cui la decisione è stata emanata (art. 437 cpv. 1 lett. a e c, nonché cpv. 2 CPP);</w:t>
      </w:r>
    </w:p>
    <w:p>
      <w:r>
        <w:t>- le parti sostengono le spese della procedura di ricorso nella misura in cui prevalgono o soccombono nella causa. È ritenuta soccombente anche la parte che ha ritirato il ricorso o sul cui ricorso non si è entrati nel merito (art. 428 cpv. 1 CPP).</w:t>
      </w:r>
    </w:p>
    <w:p>
      <w:r>
        <w:t>- la tassa di giustizia deve quindi essere posta a carico di H.;</w:t>
      </w:r>
    </w:p>
    <w:p>
      <w:r>
        <w:t>- in applicazione degli art. 5 e 7bis del Regolamento del Tribunale penale federale sulle spese, gli emolumenti, le ripetibili e le indennità della procedura penale federale (RSPPF, RS 173.713.162), viene fissata una tassa di giustizia di CHF 200.--.</w:t>
      </w:r>
    </w:p>
    <w:p>
      <w:r>
        <w:t>- 5 - La Corte d’appello pronuncia: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