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CA.2022.6 vom 3. Juni 2022</w:t>
      </w:r>
    </w:p>
    <w:p>
      <w:r>
        <w:t>Bundesstrafgericht, 2022-06-03, FR</w:t>
      </w:r>
    </w:p>
    <w:p>
      <w:r>
        <w:rPr>
          <w:b/>
        </w:rPr>
        <w:t xml:space="preserve">Quelle: </w:t>
      </w:r>
      <w:r>
        <w:t>https://mcp.opencaselaw.ch/entscheid/bstger_CA.2022.6</w:t>
      </w:r>
    </w:p>
    <w:p>
      <w:r>
        <w:t>FR: TPF CA.2022.6 du 3 juin 2022</w:t>
      </w:r>
    </w:p>
    <w:p>
      <w:r>
        <w:t>IT: TPF CA.2022.6 del 3 giugno 2022</w:t>
      </w:r>
    </w:p>
    <w:p>
      <w:pPr>
        <w:pStyle w:val="Heading2"/>
      </w:pPr>
      <w:r>
        <w:t>Regeste</w:t>
      </w:r>
    </w:p>
    <w:p>
      <w:r>
        <w:t>Appel contre le jugement SK.2019.12 du 23 avril 2021 Escroquerie par métier (art. 146 al. 1 et 2 CP), gestion déloyale aggravée (art. 158 ch. 1 CP), abus de confiance aggravé (art. 138 ch. 1 et 2 CP), blanchiment d'argent aggravé (art. 305 bis ch. 1 et 2 CP), faux dans les titres (art. 251 CP), banqueroute frauduleuse (art. 163 ch. 1 CP), obtention frauduleuse d'une constatation fausse (art. 253 CP) et violation de l'obligation de communiquer (art. 37 LBA) Décision de renvoi</w:t>
      </w:r>
    </w:p>
    <w:p>
      <w:pPr>
        <w:pStyle w:val="Heading2"/>
      </w:pPr>
      <w:r>
        <w:t>Erwägungen</w:t>
      </w:r>
    </w:p>
    <w:p>
      <w:r>
        <w:rPr>
          <w:b/>
        </w:rPr>
        <w:t>E. 1</w:t>
      </w:r>
    </w:p>
    <w:p>
      <w:r>
        <w:t>Principe applicable (art. 409 CPP)</w:t>
      </w:r>
    </w:p>
    <w:p>
      <w:r>
        <w:rPr>
          <w:b/>
        </w:rPr>
        <w:t>E. 1.1</w:t>
      </w:r>
    </w:p>
    <w:p>
      <w:r>
        <w:t>Aux termes de l’art. 409 CPP, si la procédure de première instance présente des vices importants auxquels il est impossible de remédier en procédure d’appel, la ju- ridiction d’appel annule le jugement attaqué et renvoie la cause au tribunal de pre- mière instance pour qu’il soit procédé à de nouveaux débats et pour qu’un nouveau jugement soit rendu (al. 1). La juridiction d’appel détermine les actes de procédure qui doivent être répétés ou complétés (al. 2). Le tribunal de première instance est lié par les considérants de la décision de renvoi et par les instructions visées à l’al. 2 (al. 3).</w:t>
      </w:r>
    </w:p>
    <w:p>
      <w:r>
        <w:rPr>
          <w:b/>
        </w:rPr>
        <w:t>E. 1.2</w:t>
      </w:r>
    </w:p>
    <w:p>
      <w:r>
        <w:t>En principe, il appartient à la juridiction d’appel de corriger les erreurs commises par le tribunal de première instance dans l’établissement des faits et l’application du droit (art. 408 CPP). Toutefois, lorsque le jugement de première instance présente des vices auxquels il est impossible de remédier en appel, la juridiction d’appel doit annuler le jugement attaqué et renvoyer la cause au tribunal de première instance. Seuls sont visés les vices graves dans lesquelles l’intégrité de la procédure de pre- mière instance est remise en cause. Selon la jurisprudence, en raison du caractère réformatoire de l’appel, le renvoi doit demeurer l’exception (arrêt du Tribunal fédéral 6B_1010/2021 du 10 janvier 2022, consid. 1.4.1). Il en va ainsi en cas de violation des droits de la défense, de l’incompétence du tribunal de première instance ou de la composition irrégulière du tribunal de première instance (KISTLER VIANIN, Com- mentaire romand, 2ème éd., 2019, n. 4 ad art. 409 CPP).</w:t>
      </w:r>
    </w:p>
    <w:p>
      <w:r>
        <w:rPr>
          <w:b/>
        </w:rPr>
        <w:t>E. 2</w:t>
      </w:r>
    </w:p>
    <w:p>
      <w:r>
        <w:t>De la décision de renvoi</w:t>
      </w:r>
    </w:p>
    <w:p>
      <w:r>
        <w:rPr>
          <w:b/>
        </w:rPr>
        <w:t>E. 2.1</w:t>
      </w:r>
    </w:p>
    <w:p>
      <w:r>
        <w:t>En cas de renvoi, la juridiction d’appel rend une décision formelle de renvoi de la cause au tribunal de première instance et non pas un jugement complet au fond (MOREILLON/PAREIN-REYMOND, Petit Commentaire CPP, 2ème éd., 2016, n. 3 ad art. 409 CPP ; KISTLER VIANIN, op.cit., n. 7 ad art. 409 CPP). La juridiction d’appel détermine les actes de procédure qui doivent être répétés ou complétés. Elle fournit également des instructions à l’autorité de première instance sur les actes qu’il con- vient d’entreprendre (MOREILLON/PAREIN-REYMOND, Petit Commentaire CPP, op. cit., n. 9 ad art. 409 CPP ; KISTLER VIANIN, op.cit., n. 8 ad art. 409 CPP).</w:t>
      </w:r>
    </w:p>
    <w:p>
      <w:r>
        <w:rPr>
          <w:b/>
        </w:rPr>
        <w:t>E. 2.2</w:t>
      </w:r>
    </w:p>
    <w:p>
      <w:r>
        <w:t>Selon la jurisprudence et la doctrine majoritaire, la prescription cesse de courir avec le prononcé du jugement de première instance, même si celui-ci a été annulé, car</w:t>
      </w:r>
    </w:p>
    <w:p>
      <w:r>
        <w:t>- 7 - ce qui est déterminant, c’est le fait qu’un jugement a été rendu. En effet, le texte légal de l’art. 97 al. 3 CP est clair (« la prescription ne court plus si, avant son échéance, un jugement de première instance a été rendu ») et le Message du Con- seil fédéral du 21 septembre 1998 précise, sans équivoque, que la prescription de l’action pénale « prend définitivement fin » dès qu’un jugement de première instance a été rendu (KISTLER VIANIN, op.cit, n. 11 ad art. 409 CPP et les références citées).</w:t>
      </w:r>
    </w:p>
    <w:p>
      <w:r>
        <w:rPr>
          <w:b/>
        </w:rPr>
        <w:t>E. 2.3</w:t>
      </w:r>
    </w:p>
    <w:p>
      <w:r>
        <w:t>En règle générale, la décision de renvoi constitue une décision incidente qui ne peut pas faire l’objet d’un recours en matière pénale devant le Tribunal fédéral, à moins que le recourant ne se plaigne d’un déni de justice formel, auquel cas la jurispru- dence renonce à l’exigence d’un préjudice irréparable au sens de l’art. 93 al. 1 LTF (arrêt du Tribunal fédéral 6B_1010/2021 du 10 janvier 2022 consid. 2.4 et les réfé- rences citées).</w:t>
      </w:r>
    </w:p>
    <w:p>
      <w:r>
        <w:rPr>
          <w:b/>
        </w:rPr>
        <w:t>E. 2.4</w:t>
      </w:r>
    </w:p>
    <w:p>
      <w:r>
        <w:t>Le tribunal de première instance est lié par les considérants de la décision de renvoi et par les instructions visées à l’art 409 al. 2 CPP (voir notamment MOREIL- LON/PAREIN-REYMOND, op.cit., n. 9-10 ad art. 409 CPP ; KISTLER VIANIN, op.cit, n. 12 ad art. 409 CPP).</w:t>
      </w:r>
    </w:p>
    <w:p>
      <w:r>
        <w:rPr>
          <w:b/>
        </w:rPr>
        <w:t>E. 3</w:t>
      </w:r>
    </w:p>
    <w:p>
      <w:r>
        <w:t>Dans le cas d’espèce</w:t>
      </w:r>
    </w:p>
    <w:p>
      <w:r>
        <w:rPr>
          <w:b/>
        </w:rPr>
        <w:t>E. 3.1</w:t>
      </w:r>
    </w:p>
    <w:p>
      <w:r>
        <w:t>La Cour de céans constate les éléments suivants : - Sur la page de garde (rubrum) du jugement SK.2019.12, seules les parties F., Société 1, Société 2, Société 3 et Société 4 apparaissent en qualité de tiers sai- sis. - Selon la liste de distribution du jugement précité SK.2019.12, en page 331, il ressort que les sociétés 6, 20, 21 et 16 ont été notifiées par acte judiciaire, sans pour autant être mentionnées sur la page de garde (rubrum). - Une deuxième liste de distribution était également indiquée dans le dispositif du jugement SK.2019.12 précité, en page 332, contenant les parties suivantes : H., les sociétés 11, 19, 18, 5, 17 et Me Daniel U. Walder. La notification du jugement à ces dernières devait intervenir par le biais de l’OFJ. - Contrairement à ce que l’on pourrait comprendre à la lecture du jugement, la notification dudit jugement aux parties susmentionnées, listées à la page 332, n’a eu lieu que postérieurement à la notification de ce même jugement aux autres parties.</w:t>
      </w:r>
    </w:p>
    <w:p>
      <w:r>
        <w:t>- 8 -</w:t>
      </w:r>
    </w:p>
    <w:p>
      <w:r>
        <w:rPr>
          <w:b/>
        </w:rPr>
        <w:t>E. 3.2</w:t>
      </w:r>
    </w:p>
    <w:p>
      <w:r>
        <w:t>La Cour de céans relève que les éléments susmentionnés soulèvent des incerti- tudes quant à la qualité de partie de certains participants à la procédure. De plus, la notification du jugement SK.2019.12 a eu lieu en deux temps, ce qui implique que toutes les parties à la procédure ne se sont pas vu notifier le jugement simultané- ment. Cette notification en deux temps conduit à un décalage temporel probléma- tique : le délai de 20 jours pour déclarer appel au sens de l’art. 399 al. 3 CPP étant d’ores et déjà échu pour certaines parties alors même que d’autres parties n’ont toujours pas eu connaissance du jugement motivé. La Cour des affaires pénales ne pouvait pas procéder de la sorte sous peine de violer l’égalité de traitement entre les différentes parties à la procédure. La Cour d’appel ne peut pas, quant à elle, remédier aux défauts ici constatés.</w:t>
      </w:r>
    </w:p>
    <w:p>
      <w:r>
        <w:rPr>
          <w:b/>
        </w:rPr>
        <w:t>E. 3.3</w:t>
      </w:r>
    </w:p>
    <w:p>
      <w:r>
        <w:t>Au vu de ce qui précède, la Cour de céans ne peut que renvoyer le jugement SK.2019.12 à l’instance précédente afin que cette dernière, d’une part, clarifie le statut procédural des parties concernées par son jugement et, d’autre part, procède à la notification simultanée, à toutes les parties concernées, de son jugement. Le renvoi se limite à ces questions d’ordre formel et ne saurait dès lors impliquer une modification du contenu du jugement SK.2019.12. Toute répétition des actes de procédure est par conséquent également exclu.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