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CA.2019.5 vom 13. September 2019</w:t>
      </w:r>
    </w:p>
    <w:p>
      <w:r>
        <w:t>Bundesstrafgericht, 2019-09-13, DE</w:t>
      </w:r>
    </w:p>
    <w:p>
      <w:r>
        <w:rPr>
          <w:b/>
        </w:rPr>
        <w:t xml:space="preserve">Quelle: </w:t>
      </w:r>
      <w:r>
        <w:t>https://mcp.opencaselaw.ch/entscheid/bstger_CA.2019.5</w:t>
      </w:r>
    </w:p>
    <w:p>
      <w:r>
        <w:t>FR: TPF CA.2019.5 du 13 septembre 2019</w:t>
      </w:r>
    </w:p>
    <w:p>
      <w:r>
        <w:t>IT: TPF CA.2019.5 del 13 settembre 2019</w:t>
      </w:r>
    </w:p>
    <w:p>
      <w:pPr>
        <w:pStyle w:val="Heading2"/>
      </w:pPr>
      <w:r>
        <w:t>Regeste</w:t>
      </w:r>
    </w:p>
    <w:p>
      <w:r>
        <w:t>Berufung gegen das Urteil der Strafkammer des Bundesstrafgerichts SK.2018.20 vom 15. März 2019 Rückzug der Berufungserklärung durch die Bundesanwaltschaft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AG,</w:t>
      </w:r>
    </w:p>
    <w:p>
      <w:r>
        <w:rPr>
          <w:b/>
        </w:rPr>
        <w:t>E. 2</w:t>
      </w:r>
    </w:p>
    <w:p>
      <w:r>
        <w:t>Die Anschlussberufung der Beschuldigten fällt infolge Rückzugs der Berufung der Bundesanwaltschaft dahin und wird ebenfalls als gegenstandslos abge- schrieben.</w:t>
      </w:r>
    </w:p>
    <w:p>
      <w:r>
        <w:rPr>
          <w:b/>
        </w:rPr>
        <w:t>E. 3</w:t>
      </w:r>
    </w:p>
    <w:p>
      <w:r>
        <w:t>Es wird festgestellt, dass das Urteil der Strafkammer SK.2018.20 vom 15. März 2019 per Entscheiddatum vollumfänglich in Rechtskraft erwachsen ist.</w:t>
      </w:r>
    </w:p>
    <w:p>
      <w:r>
        <w:rPr>
          <w:b/>
        </w:rPr>
        <w:t>E. 4</w:t>
      </w:r>
    </w:p>
    <w:p>
      <w:r>
        <w:t>Die Verfahrenskosten von CHF 3'000.-- gehen zulasten der Staatskasse.</w:t>
      </w:r>
    </w:p>
    <w:p>
      <w:r>
        <w:rPr>
          <w:b/>
        </w:rPr>
        <w:t>E. 5</w:t>
      </w:r>
    </w:p>
    <w:p>
      <w:r>
        <w:t>Rechtsanwältin Tanja Knodel wird für die amtliche Verteidigung der Beschuldig- ten im Berufungsverfahren durch die Eidgenossenschaft mit CHF 7'347.60 (inkl. MWST) entschädigt.</w:t>
      </w:r>
    </w:p>
    <w:p>
      <w:r>
        <w:rPr>
          <w:b/>
        </w:rPr>
        <w:t>E. 6</w:t>
      </w:r>
    </w:p>
    <w:p>
      <w:r>
        <w:t>Der Privatklägerschaft und der Bundesanwaltschaft werden keine Parteient- schädigungen ausgerichtet. Im Namen der Berufungskammer des Bundesstrafgerichts</w:t>
      </w:r>
    </w:p>
    <w:p>
      <w:r>
        <w:t>Die Vorsitzende Der Gerichtsschreiber</w:t>
      </w:r>
    </w:p>
    <w:p>
      <w:r>
        <w:t>- 7 - Zustellung an (Gerichtsurkunde): - Bundesanwaltschaft, Frau Kathrin Streichenberg, Staatsanwältin des Bundes - Frau Rechtsanwältin Tanja Knodel - Herren Rechtsanwälte Dr. Andreas Länzlinger und Dr. Pascal Hachem</w:t>
      </w:r>
    </w:p>
    <w:p>
      <w:r>
        <w:t>Nach Eintritt der Rechtskraft mitzuteilen an: - Strafkammer des Bundesstrafgerichts (brevi manu) - Bundesanwaltschaft (zum Vollzug)</w:t>
      </w:r>
    </w:p>
    <w:p>
      <w:r>
        <w:t>Rechtsmittelbelehrung Beschwerde an das Bundesgericht</w:t>
      </w:r>
    </w:p>
    <w:p>
      <w:r>
        <w:t>Dieser Beschluss kann innert 30 Tagen nach Eröffnung der vollständigen Ausfertigung mit Beschwerde in Strafsachen beim Bundesgericht angefochten werden. Das Beschwerderecht und die übrigen Zulässigkeits- voraussetzungen sind in den Art. 78 - 81 und 90 ff. des Bundesgesetzes über das Bundesgericht vom 17. Juni 2005 (BGG) geregelt. Die begründete Beschwerdeschrift ist beim Bundesgericht, 1000 Lausanne 14, einzu- reichen.</w:t>
      </w:r>
    </w:p>
    <w:p>
      <w:r>
        <w:t>Versand 13. September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