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CA.2019.35 vom 23. Juni 2020</w:t>
      </w:r>
    </w:p>
    <w:p>
      <w:r>
        <w:t>Bundesstrafgericht, 2020-06-23, FR</w:t>
      </w:r>
    </w:p>
    <w:p>
      <w:r>
        <w:rPr>
          <w:b/>
        </w:rPr>
        <w:t xml:space="preserve">Quelle: </w:t>
      </w:r>
      <w:r>
        <w:t>https://mcp.opencaselaw.ch/entscheid/bstger_CA.2019.35</w:t>
      </w:r>
    </w:p>
    <w:p>
      <w:r>
        <w:t>FR: TPF CA.2019.35 du 23 juin 2020</w:t>
      </w:r>
    </w:p>
    <w:p>
      <w:r>
        <w:t>IT: TPF CA.2019.35 del 23 giugno 2020</w:t>
      </w:r>
    </w:p>
    <w:p>
      <w:pPr>
        <w:pStyle w:val="Heading2"/>
      </w:pPr>
      <w:r>
        <w:t>Regeste</w:t>
      </w:r>
    </w:p>
    <w:p>
      <w:r>
        <w:t>Participation à une organisation criminelle (art. 260ter ch. 1 al. 1 CP), vols répétés (art. 139 ch. 1 CP), vols répétés d'importance mineure (art. 139 ch. 1 et art. 172ter al. 1 CP), dommages à la propriété (art. 144 al. 1 CP), recel d'importance mineure (art. 160 ch. 1 et art. 172ter al. 1 CP), violation répétée de domicile (art. 186 CP) et infractions à la loi fédérale sur les stupéfiants art. 19 al. 1 let. d ad. art. 19a ch. 1 LStup).</w:t>
      </w:r>
    </w:p>
    <w:p>
      <w:pPr>
        <w:pStyle w:val="Heading2"/>
      </w:pPr>
      <w:r>
        <w:t>Erwägungen</w:t>
      </w:r>
    </w:p>
    <w:p>
      <w:r>
        <w:rPr>
          <w:b/>
        </w:rPr>
        <w:t>E. 9</w:t>
      </w:r>
    </w:p>
    <w:p>
      <w:r>
        <w:t>https://fr.numbeo.com/coût-de-la-vie/ville/Roustavi-Géorgie?displayCurrency=CHF (dernière consultation : avril 2020)</w:t>
      </w:r>
    </w:p>
    <w:p>
      <w:r>
        <w:rPr>
          <w:b/>
        </w:rPr>
        <w:t>E. 10</w:t>
      </w:r>
    </w:p>
    <w:p>
      <w:r>
        <w:t>https://w3.unece.org/PXWeb2015/pxweb/en/STAT/STAT__20-ME__3-MELF/60_en_MECCWa- gesY_r.px/ (dernière consultation : avril 2020)</w:t>
      </w:r>
    </w:p>
    <w:p>
      <w:r>
        <w:rPr>
          <w:b/>
        </w:rPr>
        <w:t>E. 11</w:t>
      </w:r>
    </w:p>
    <w:p>
      <w:r>
        <w:t>https://www.numbeo.com/cost-of-living/compare_countries_result.jsp?country1=Georgia&amp;coun- try2=Switzerland (dernière consultation : avril 2020)</w:t>
      </w:r>
    </w:p>
    <w:p>
      <w:r>
        <w:t>- 46 - pouvoir d’achat, tel qu’indiqué par le salaire moyen, y est 18.4 fois supérieur (su- pra, consid. II.2.4.5 et II.2.4.7). 2.4.9 L’écart constaté au niveau des salaires moyens suisse et géorgien est ainsi à tout le moins aussi élevé que celui constaté entre les salaires moyens serbe et suisse dans l’affaire susmentionnée concernant des lésées domiciliées dans la province de Voïvodine (ATF 125 II 554), étant rappelé que ce sont les attaches de ces dernières avec la Suisse qui ont conduit le Tribunal fédéral à ne réduire que de moitié l’indemnité au lieu de la diviser par 14 comme l’autorité cantonale l’avait fait (cf. supra consid. II.2.2.8). Or, en l’espèce, il est établi que l’appelant n’a aucun lien avec la Suisse. 2.4.10 Comme déjà relevé (arrêt du Tribunal fédéral 1A.299/2000, cf. supra con- sid. II.2.2.9), le Tribunal fédéral a admis une réduction de 75% dans le cas sus- mentionné du lésé domicilié en Bosnie-Herzégovine, où le salaire minimum n’était à l’époque considérée qu’environ 6 à 7 fois inférieur à son équivalent suisse - soit bien en deçà du ratio de 18.4/1 constaté dans le cadre de la présente procédure entre la Suisse et la Géorgie. En outre, les données de l’OFS indiquent que le coût de la vie en Bosnie-Herzégovine en 2011 était plus de 23% supérieur au coût de la vie en Géorgie12, ce qui signifie qu’il s’écartait dans une moindre mesure du coût de la vie en Suisse. 2.4.11 Au vu de ce qui précède, les motifs d’équité évoqués par la jurisprudence sus- mentionnée (consid. II.2.2.5 ) commandent de tenir compte des conditions éco- nomiques très différentes en Suisse et en Géorgie dans la fixation de l’indemnité journalière octroyée à l’appelant. A défaut, ce dernier se trouverait manifestement avantagé de manière excessive. 2.4.12 Il s’agit encore d’estimer la mesure de la réduction appropriée. A cet égard, sur la base des chiffres relevés plus haut (consid. II.2.4.8), on constate que la possi- bilité pour un salarié moyen géorgien d’acquérir les mêmes biens que son homo- logue suisse sont environ 5.1 fois inférieures (soit 18.4/3.6). Cela signifie que la réparation d’une lésion égale nécessiterait d’allouer à un lésé domicilié en Géor- gie une indemnité se situant environ entre le 27.8 % (soit 100/3.6) – en tenant compte uniquement du coût de la vie – et le 3.6% ( soit 18.4/5.1) – en tenant compte également du salaire moyen – de celle allouée à un lésé vivant en Suisse.</w:t>
      </w:r>
    </w:p>
    <w:p>
      <w:r>
        <w:rPr>
          <w:b/>
        </w:rPr>
        <w:t>E. 12</w:t>
      </w:r>
    </w:p>
    <w:p>
      <w:r>
        <w:t>Preisniveauindizes im weltweiten Vergleich (179 Länder), disponible à l’adresse suivante : https://www.bfs.admin.ch/bfs/fr/home/statistiques/prix/parites-pouvoir-achat.assetde- tail.328723.html (dernière consultation avril 2020)</w:t>
      </w:r>
    </w:p>
    <w:p>
      <w:r>
        <w:t>- 47 - 2.4.13 La moyenne de ces deux pourcentages est de 15.7. Cela signifie qu’une indem- nité de CHF 15.70 a approximativement le même effet réparateur pour une per- sonne vivant en Géorgie qu’une indemnité de CHF 100.- pour un lésé vivant en Suisse. 2.4.14 Il convient ainsi de réduire sensiblement l’indemnité journalière de CHF 100.- al- louée à l’appelant, sans quoi cette dernière paraîtrait inéquitable. Comme l’exige la jurisprudence, on évitera néanmoins de procéder de manière schématique. 2.4.15 Dans le cas d’espèce, une réduction de 80% paraît appropriée. Le montant final de l’indemnité journalière octroyée à l’appelant pour détention injustifiée est ainsi fixé à CHF 20.-. 2.4.16 Compte tenu de la peine privative de liberté de 26 mois à laquelle il est condamné par la Cour de céans (consid. II.1.3), l’appelant a ainsi subi 863 jours de détention injustifiée en cours de procédure. La Cour de céans lui alloue par conséquent une indemnité de CHF 17'260.- (863 X 20) au titre de l’art. 431 CPP avec intérêts à 5% l’an dès le jour où la détention est devenue illicite, soit dès le 14 mai 2012. 3. Frais et indemnisation du défenseur d’office pour la procédure d’appel 3.1 Frais 3.1.1 Les frais de la procédure de recours sont mis à la charge des parties dans la mesure où elles ont obtenu gain de cause ou succombé (art. 428 al. 1, 1ère phrase CPP).</w:t>
      </w:r>
    </w:p>
    <w:p>
      <w:r>
        <w:t>Le Tribunal pénal fédéral fixe dans un règlement (a) le mode de calcul des frais de procédure; (b) le tarif des émoluments; (c) les dépens alloués aux parties et les indemnités allouées aux défenseur d’office, aux conseils juridiques gratuits, aux experts et aux témoins (art. 73 al. 1 LOAP).</w:t>
      </w:r>
    </w:p>
    <w:p>
      <w:r>
        <w:t>Les frais de procédure comprennent les émoluments et les débours (art. 1 al. 1 du règlement du Tribunal pénal fédéral du 31 aout 2010 sur les frais, émolu- ments, dépens et indemnités de la procédure pénale fédérale [RFPPF; RS 173.713.162]).</w:t>
      </w:r>
    </w:p>
    <w:p>
      <w:r>
        <w:t>Les émoluments sont dus pour les opérations accomplies ou ordonnées par la PJF et le MPC dans la procédure préliminaire, ainsi que par la Cour des affaires pénales dans la procédure de première instance, par la Cour d’appel dans celle d’appel et de révision, et par la Cour des plaintes dans les procédures de recours selon l’art. 37 LOAP (art. 1 al. 2 RFPPF). Le montant de l’émolument est calculé en fonction de l’ampleur et de la difficulté de la cause, de la façon de procéder</w:t>
      </w:r>
    </w:p>
    <w:p>
      <w:r>
        <w:t>- 48 - des parties, de leur situation financière et des frais de chancellerie (art. 73 al. 2 LOAP; cf. art. 5 RFPPF). La fourchette des émoluments est de 200 à 100'000 francs pour chacune des procédures suivantes : a. la procédure préliminaire; b. la procédure de première instance; c. la procédure de recours. (art. 73 al. 3 LOAP; cf. art. 6 – 7bis RFPPF).</w:t>
      </w:r>
    </w:p>
    <w:p>
      <w:r>
        <w:t>Les débours sont les montants versés à titre d’avance par la Confédération; ils comprennent notamment les frais imputables à la défense d’office et à l’assis- tance judiciaire gratuite, les frais de traduction, les frais d’expertise, les frais de participation d’autres autorités, les frais de port et de téléphone et d’autres frais analogues (art. 1 al. 3 RFPPF). Les débours sont fixés au prix facturé à la Con- fédération ou payé par elle (art. 9 al. 1 RFPPF). 3.1.2 L’appel étant rejeté, l’appelant succombe, de sorte qu’il supportera les frais de la procédure d’appel, lesquels, hormis l’indemnité allouée au défenseur d’office de l’appelant (infra, consid. II.3.2) consistent en l’espèce en un émolument. Compte tenu des principes exposés ci-dessus (consid. II.3.1.1), dit émolument est fixé à CHF 4'000.-, TVA incluse, et mis à la charge de l’appelant.</w:t>
      </w:r>
    </w:p>
    <w:p>
      <w:r>
        <w:t>En l’espèce, il n’incombe pas à la Cour de céans de se pencher à nouveau sur la mise des frais réduits à la charge de l’appelant, à hauteur de CHF 10'000.- (jugement attaqué, chiffre II.1 du dispositif), ainsi que sur l’obligation faite à l’ap- pelant de rembourser à la Confédération, dès que sa situation financière le per- mettra, à hauteur de CHF 30'000.-, l’indemnité allouée à son défenseur d’office dans le cadre de la procédure SK.2017.28 (jugement attaqué, chiffre IV.1.2 du dispositif). En effet, quand bien même l’appelant indique faire appel du jugement SK.2019.26 dans son ensemble (déclaration d’appel du 23 décembre 2019, p. 2), il ne ressort pas de ses conclusions qu’il conteste le chiffre II du dispositif du jugement attaqué. Or, il incombe à l’appelant d’indiquer les modifications du dis- positif qu’il demande sur les points du jugement qu’il attaque (KISTLER VIANIN, in Commentaire romand, Code de procédure pénale, 2e éd. 2019, n° 17 ad art. 399 CPP). En l’absence de telles indications, le chiffre II du dispositif du jugement attaqué n’a pas été contesté par l’appelant et est par conséquent entré en force (art. 402 CPP a contrario). En l’espèce, la Cour de céans relève par surabon- dance que dans l’hypothèse où elle aurait eu à examiner cette question, elle au- rait confirmé le chiffre II du dispositif du jugement attaqué, dès lors qu’elle con- firme le jugement condamnatoire prononcé par le juge précédent.</w:t>
      </w:r>
    </w:p>
    <w:p>
      <w:r>
        <w:t>- 49 - 3.2 Indemnisation du défenseur d’office pour la procédure d’appel 3.2.1 Dans le cadre d’une procédure pénale fédérale, le défenseur d’office est indem- nisé conformément au tarif des avocats de la Confédération tel que donné par le RFPPF (art. 135 al. 1 CPP en lien avec l’art. 73 al. 1 let. c LOAP).</w:t>
      </w:r>
    </w:p>
    <w:p>
      <w:r>
        <w:t>Les articles 11 ss RFPPF règlent les indemnités allouées à l’avocat d’office. Les frais d’avocat comprennent les honoraires et les débours nécessaires, tels que les frais de déplacement, de repas et de nuitée, et les frais de port et de commu- nication téléphonique. Selon l’art. 12 RFPPF, les honoraires d’office sont fixés en fonction du temps effectivement consacré à la cause et nécessaire à la défense de la partie représentée. Le tarif horaire est de CHF 200.- au minimum et de CHF 300.- au maximum. 3.2.2 En l’espèce, Maître Christophe Piguet a été désigné en qualité de défenseur d’of- fice de l’appelant dans le cadre de la procédure de première instance devant l’autorité précédente. Aux termes de l’art. 130 let. b CPP réglant la défense obli- gatoire, le prévenu doit avoir un défenseur notamment lorsqu’il encourt une peine privative de liberté de plus d’un an. Tel était déjà le cas de l’appelant dans le cadre de la procédure devant l’autorité précédente. Le mandat conféré par cette dernière à Maître Christophe Piguet s’étend ainsi également à la présente pro- cédure d’appel (ATF 129 I 281 consid. 4.2 à 4.6 ; HARARI/JAKOB/SANTAMARIA, in Commentaire romand, Code de procédure pénale, 2e éd. 2019, n° 71b ad art. 132 CPP). 3.2.3 Par courrier du 27 avril 2020, Maître Christophe Piguet a remis à la direction de la procédure la liste de ses opérations effectuées dans le cadre de la présente procédure en tant que défenseur d’office de l’appelant. Cette liste fait état de 25.6 heures de travail entre le 6 décembre 2019 et le 21 janvier 2020. Ce total paraît justifié. La Cour de céans, se fondant sur le même tarif horaire de CHF 230.- que celui retenu par le juge précédent, fixe par conséquent à CHF 6'341.40 ((25.6 x 230) x 1.077), TVA à 7.7 % comprise, l’indemnité allouée à Maître Christophe Piguet en tant que défenseur d’office de l’appelant. 3.2.4 L’appelant étant condamné à supporter les frais de procédure (cf supra con- sid. II.3.1.2), il est tenu de rembourser l’indemnité allouée à son défenseur d’of- fice dès que sa situation financière le permettra (art. 135 al. 4 let. a CPP).</w:t>
      </w:r>
    </w:p>
    <w:p>
      <w:r>
        <w:t>- 50 - La Cour d’appel prononce: I. Il est entré en matière sur l’appel contre le jugement SK.2019.26 de la Cour des affaires pénales du Tribunal pénal fédéral du 4 décembre 2019. II. L’appel contre le jugement SK.2019.26 de la Cour des affaires pénales du Tribu- nal pénal fédéral du 4 décembre 2019 est rejeté. III. Le jugement SK.2019.26 de la Cour des affaires pénales du Tribunal pénal fédé- ral du 4 décembre 2019 est confirmé comme suit : « I. A. 1. A. est reconnu coupable de: 1.1 participation à une organisation criminelle (art. 260 ter ch. 1 al. 1 CP); 1.2 vols répétés (art. 139 ch. 1 CP); 1.3 vols répétés d'importance mineure (art. 139 ch. 1 CP et art. 172 ter al. 1 CP); 1.4 dommages à la propriété (art. 144 al. 1 CP); 1.5 violations répétées de domicile (art. 186 CP); 1.6 acquisition de stupéfiants pour sa propre consommation le 4 janvier 2010 (art. 19 al. 1 let. d et art. 19 a ch. 1 LStup). 2. La procédure est classée s'agissant des infractions de: 2.1 consommation de stupéfiants (art. 19 a ch. 1 LStup) (ch. 1.2.7 de l'acte d'ac- cusation); 2.2 vol d'importance mineure (ch. 1.2.3 let. c de l'acte d'accusation). 3. A. est acquitté des autres chefs d'accusation. 4. A. est condamné à: 4.1. une peine privative de liberté de deux ans et deux mois, sous déduction de 1643 jours de détention avant jugement déjà subis, la violation du principe de célérité ayant été prise en compte dans la fixation de cette peine; 4.2. une amende de CHF 200.- (art. 106 CP). La peine privative de liberté de substitution à l'amende de CHF 200.- est fixée à 2 jours.</w:t>
      </w:r>
    </w:p>
    <w:p>
      <w:r>
        <w:t>- 51 - 5. Les autorités du canton du Tessin sont compétentes pour l'exécution des peines. 6. Sort des objets séquestrés 6.1 Les valeurs patrimoniales suivantes sont confisquées (art. 72 CP): - CHF 400.-, soit quatre billets de CHF 100.- (n° de scellé 01.01.0010); - un bulletin de paiement postal n° 687270 d'un montant de CHF 132.35. 6.2. Tous les autres objets saisis sur A. sont confisqués et conservés au dossier (art. 69 CP). II. Frais et dépens 1. Les frais réduits, compte tenu de la situation personnelle de A. (art. 425 CPP), sont mis à sa charge (art. 426 al. 1 CPP) à hauteur de CHF 10'000.- (dossier SK.2017.28). 2. Le solde des frais de la procédure est laissé à charge de la Confédération. III. Indemnités</w:t>
      </w:r>
    </w:p>
    <w:p>
      <w:r>
        <w:t>1. Une indemnité est allouée à A. à hauteur de: 1.1 CHF 17'260.- (art. 431 CPP), avec intérêts à 5% l'an dès le 14 mai 2012; 1.2 CHF 1'301.- (art. 429 al. 1 let. b CPP) avec intérêts à 5% l'an dès le 18 oc- tobre 2017. Cette indemnité est compensée avec les frais de procédure mis à la charge de A. (art. 442 al. 4 CPP) tels qu'arrêtés dans le jugement du 6 mars 2018 (SK.2017.28). IV. Indemnisation du défenseur d'office 1. Dossier SK.2017.28 1.1 Les indemnités à la charge de la Confédération allouées au défenseur d'office de A. sont arrêtées comme suit, dont à déduire les acomptes déjà versés (art. 135 al. 2 CPP): - pour les activités de Me Christophe Piguet jusqu'au 7 octobre 2013, un montant de CHF 78'068.90 (TVA non comprise); - pour les activités de Me Christophe Piguet jusqu'au 22 décembre 2017, un montant de CHF 76'004.50 (TVA non comprise).</w:t>
      </w:r>
    </w:p>
    <w:p>
      <w:r>
        <w:t>- 52 - 1.2 A. est tenu de rembourser à la Confédération, dès que sa situation financière le permettra, à hauteur de CHF 30'000.- l'indemnité allouée à son défenseur d'office (art. 135 al. 4 let. a CPP). 2. Dossier SK.2019.26 2.1 L'indemnité à la charge de la Confédération allouée pour les activités de Me Christophe Piguet, défenseur d'office de A. est arrêtée à CHF 4'234.70 (TVA et débours compris). » IV. Les frais de la procédure d‘appel, soit CHF 4'000.-, sont mis à la charge de A. V. La Confédération alloue à Maître Christophe Piguet une indemnité de CHF 6'341.40, TVA comprise, à titre de défenseur d’office de A. pour la procé- dure d’appel. VI. A. est tenu de rembourser à la Confédération, dès que situation financière le permet, l’indemnité allouée à son défenseur d’office sous chiffre V ci-dessus.</w:t>
      </w:r>
    </w:p>
    <w:p>
      <w:r>
        <w:t>Au nom de la Cour d’appel du Tribunal pénal fédéral</w:t>
      </w:r>
    </w:p>
    <w:p>
      <w:r>
        <w:t>Le juge président La greffière</w:t>
      </w:r>
    </w:p>
    <w:p>
      <w:r>
        <w:t>Notification à (acte judiciaire)  Ministère public de la Confédération, Monsieur Jean-Luc Reymond, Procureur fédéral extraordinaire  Maître Christophe Piguet, avocat</w:t>
      </w:r>
    </w:p>
    <w:p>
      <w:r>
        <w:t>Copie à (brevi manu)  Tribunal pénal fédéral, Cour des affaires pénales</w:t>
      </w:r>
    </w:p>
    <w:p>
      <w:r>
        <w:t>Après son entrée en force, le jugement sera communiqué à - Ministère public de la Confédération en tant qu’autorité d’exécution</w:t>
      </w:r>
    </w:p>
    <w:p>
      <w:r>
        <w:t>- 53 - Indication des voies de droit</w:t>
      </w:r>
    </w:p>
    <w:p>
      <w:r>
        <w:t>Recours au Tribunal fédéral</w:t>
      </w:r>
    </w:p>
    <w:p>
      <w:r>
        <w:t>Ce jugement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Recours à la Cour des plaintes du Tribunal pénal fédéral</w:t>
      </w:r>
    </w:p>
    <w:p>
      <w:r>
        <w:t>Le défenseur d’office peut recourir devant la Cour des plaintes du Tribunal pénal fédéral dans les 10 jours contre la décision fixant l’indemnité (art. 135 al. 3 let. a et art. 396 al. 1 CPP; art. 37 al. 1 LOAP).</w:t>
      </w:r>
    </w:p>
    <w:p>
      <w:r>
        <w:t>Expédition: 25 juin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