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CA.2019.2 vom 20. März 2019</w:t>
      </w:r>
    </w:p>
    <w:p>
      <w:r>
        <w:t>Bundesstrafgericht, 2019-03-20, IT</w:t>
      </w:r>
    </w:p>
    <w:p>
      <w:r>
        <w:rPr>
          <w:b/>
        </w:rPr>
        <w:t xml:space="preserve">Quelle: </w:t>
      </w:r>
      <w:r>
        <w:t>https://mcp.opencaselaw.ch/entscheid/bstger_CA.2019.2</w:t>
      </w:r>
    </w:p>
    <w:p>
      <w:r>
        <w:t>FR: TPF CA.2019.2 du 20 mars 2019</w:t>
      </w:r>
    </w:p>
    <w:p>
      <w:r>
        <w:t>IT: TPF CA.2019.2 del 20 marzo 2019</w:t>
      </w:r>
    </w:p>
    <w:p>
      <w:pPr>
        <w:pStyle w:val="Heading2"/>
      </w:pPr>
      <w:r>
        <w:t>Regeste</w:t>
      </w:r>
    </w:p>
    <w:p>
      <w:r>
        <w:t>Appello sull'intera sentenza (art. 399 cpv. 3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CPP, con cui, secondo la dottrina, "si introduce, provvidamente, una regola chiara, valida per tutte le parti interessate, evitando che una parte possa deter-</w:t>
      </w:r>
    </w:p>
    <w:p>
      <w:r>
        <w:t>- 5 - minare la procedura applicabile a dipendenza del momento in cui presenta il ri- corso" (CATENAZZI, in Bernasconi/Galliani/Marcellini/Meli/Mini/Noseda (ed.), Co- dice svizzero di procedura penale, Commentario, 2010, n. 1 ad art. 453 CPP), garantendo quindi la certezza del diritto; - argumentum e contrario è del resto anche quanto previsto all'art. 454 cpv. 1 CPP, dove il legislatore conferma che il crinale fra vecchio e nuovo diritto è esclusiva- mente la data di emanazione della decisione; - la soluzione invocata dall'appellante di garantire la via dell'appello contro le deci- sioni della Corte penale del TPF pronunciate prima dell'entrata in vigore della modifica del 17 marzo 2017 creerebbe evidenti problemi sia di disparità di tratta- mento, con riferimento ad altre sentenze pronunciate nel 2018 e non ancora mo- tivate, che di certezza del diritto, data l'impossibilità di fissare un termine preciso a partire dal quale la soluzione proposta sarebbe attuabile; - in realtà, ciò che conta non è l'esistenza potenziale dell'appello giusta il CPP ma l'esistenza sostanziale ed effettiva dello stesso, la quale può solo derivare, vista la ripartizione delle competenze fra Confederazione e Cantoni ex art. 123 cpv. 1 e 2 Cost., da un combinato disposto fra normative processuali ed organizzative, ossia fra CPP e LOAP; - l'appello in sede federale, per volontà del legislatore, esiste solo dal 1° gennaio 2019; - del resto, chinatosi su sentenze emanate dalla nuova Corte d'appello e revisione penale (CARP) del Canton Ticino nel corso del 2011, ancora in qualità di Corte di cassazione e revisione penale (CCRP) e quindi sulla base di un ricorso per cassazione e non di un appello, il Tribunale federale non ha fatto particolari con- siderazioni in merito ma ha accettato come ovvio, perlomeno implicitamente, il fatto che in virtù dell'art. 453 cpv. 1 CPP queste sentenze, relative a ricorsi contro sentenze di prima istanza emanate prima del 1° gennaio 2011, fossero formal- mente delle vecchie "sentenze CCRP" pur essendo emanate dalla nuova CARP (v. sentenze del Tribunale federale 6B_197/2011 del 19 luglio 2011; 6B_204/2011 del 20 giugno 2011; 6B_201/2011 del 28 giugno 2011; 6B_209/2011 del 28 giugno 2011);</w:t>
      </w:r>
    </w:p>
    <w:p>
      <w:r>
        <w:t>- 6 - - giusta l'art. 453 cpv. 1 CPP, i ricorsi contro le decisioni emanate prima dell'entrata in vigore del CPP sono giudicati secondo il diritto anteriore dalle autorità compe- tenti in virtù di tale diritto; - in base al testo chiaro della legge, nonché alla giurisprudenza e alla dottrina (v. sentenza del Tribunale federale 1B_323/2011 del 13 settembre 2011 consid. 1.2; USTER, Commentario basilese, 2a ediz. 2014, n. 1 ad art. 453 CPP; SCHMID/JO- SITSCH, Schweizerische Strafprozessordnung, Praxiskommentar, 3a ediz. 2018, n. 1 ad art. 453 CPP; SCHMID, Übergangsrecht der Schweizerischen Strafprozes- sordnung, 2010, n. 283), a livello di diritto intertemporale è decisivo il momento di emanazione della decisione, in casu il 7 novembre 2018; - la Corte penale del TPF era dunque impossibilitata a procedere secondo l'art. 399 cpv. 2 CPP, come richiesto dall'appellante; - la modifica del 17 marzo 2017 della LOAP, che prevede l'introduzione dell'appello anche nella giurisdizione penale federale, non era quindi applicabile perché en- trata in vigore soltanto il 1° gennaio 2019; - la presente autorità non entra di conseguenza nel merito dell'appello; - l'appellante, risultando soccombente data l’inammissibilità del suo gravame, deve sopportare le spese processuali cagionate (art. 428 cpv. 1 CPP); - una tassa di giustizia di fr. 1'000.–, fissata in applicazione degli art. 5 e 7bis del regolamento del Tribunale penale federale sulle spese, gli emolumenti, le ripetibili e le indennità della procedura penale federale del 31 agosto 2010 (RSPPF; RS 173.713.162), è posta a suo carico.</w:t>
      </w:r>
    </w:p>
    <w:p>
      <w:r>
        <w:t>- 7 -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