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CA.2019.12 vom 29. Juli 2019</w:t>
      </w:r>
    </w:p>
    <w:p>
      <w:r>
        <w:t>Bundesstrafgericht, 2019-07-29, DE</w:t>
      </w:r>
    </w:p>
    <w:p>
      <w:r>
        <w:rPr>
          <w:b/>
        </w:rPr>
        <w:t xml:space="preserve">Quelle: </w:t>
      </w:r>
      <w:r>
        <w:t>https://mcp.opencaselaw.ch/entscheid/bstger_CA.2019.12</w:t>
      </w:r>
    </w:p>
    <w:p>
      <w:r>
        <w:t>FR: TPF CA.2019.12 du 29 juillet 2019</w:t>
      </w:r>
    </w:p>
    <w:p>
      <w:r>
        <w:t>IT: TPF CA.2019.12 del 29 luglio 2019</w:t>
      </w:r>
    </w:p>
    <w:p>
      <w:pPr>
        <w:pStyle w:val="Heading2"/>
      </w:pPr>
      <w:r>
        <w:t>Regeste</w:t>
      </w:r>
    </w:p>
    <w:p>
      <w:r>
        <w:t>Berufung; Nichteintreten (Art. 403 Abs. 3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Januar 2019 möglich ist (BBI 2008 8125, 8144 ff.); ̶ Urteile der Strafkammer des Bundesstrafgerichts, die vor dem 1. Januar 2019 eröffnet worden waren, nur mit Beschwerde in Strafsachen beim Bundesgericht angefochten werden konnten (Urteil des Bundesgerichts 6B_523/2019 vom 4. Juni 2019 E. 1.3); ̶ die Berufung gegen das Urteil der Strafkammer SK.2017.19 vom 19. Dezember 2017 somit unzulässig ist; ̶ aufgrund des oben Gesagten auf die Berufung nicht einzutreten ist; ̶ in Anwendung von Art. 73 Abs. 1 lit. a und b sowie Abs. 3 lit. c StBOG i.V.m. Art. 1 Abs. 4, Art. 5 und Art. 7bis des Reglements des Bundesstrafgerichts vom 31. August 2010 über die Kosten, Gebühren und Entschädigungen in Bundesstrafsachen (BStKR; SR 173.713.162) eine Gebühr von Fr. 200.-- festzusetzen ist.</w:t>
      </w:r>
    </w:p>
    <w:p>
      <w:r>
        <w:t>- 4 - Die Berufungskammer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