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CA.2019.11 vom 4. Juni 2020</w:t>
      </w:r>
    </w:p>
    <w:p>
      <w:r>
        <w:t>Bundesstrafgericht, 2020-06-04, FR</w:t>
      </w:r>
    </w:p>
    <w:p>
      <w:r>
        <w:rPr>
          <w:b/>
        </w:rPr>
        <w:t xml:space="preserve">Quelle: </w:t>
      </w:r>
      <w:r>
        <w:t>https://mcp.opencaselaw.ch/entscheid/bstger_CA.2019.11</w:t>
      </w:r>
    </w:p>
    <w:p>
      <w:r>
        <w:t>FR: TPF CA.2019.11 du 4 juin 2020</w:t>
      </w:r>
    </w:p>
    <w:p>
      <w:r>
        <w:t>IT: TPF CA.2019.11 del 4 giugno 2020</w:t>
      </w:r>
    </w:p>
    <w:p>
      <w:pPr>
        <w:pStyle w:val="Heading2"/>
      </w:pPr>
      <w:r>
        <w:t>Regeste</w:t>
      </w:r>
    </w:p>
    <w:p>
      <w:r>
        <w:t>Appel (Art. 398 CPP) Appel (partiel) du 29 juillet 2019 et appels joints du 20 août 2019 contre le jugement de la Cour des affaires pénales du Tribunal pénal fédéral SK.2018.60 du 22 mai 2019</w:t>
      </w:r>
    </w:p>
    <w:p>
      <w:pPr>
        <w:pStyle w:val="Heading2"/>
      </w:pPr>
      <w:r>
        <w:t>Erwägungen</w:t>
      </w:r>
    </w:p>
    <w:p>
      <w:r>
        <w:rPr>
          <w:b/>
        </w:rPr>
        <w:t>E. 2</w:t>
      </w:r>
    </w:p>
    <w:p>
      <w:r>
        <w:t>CP) et infraction grave à la loi fédérale sur les stupéfiants (art. 19 al. 1 et 2 LStup). Cette procédure a ensuite été étendue à plusieurs personnes, parmi lesquelles B. et A. Le MPC a disjoint de la procédure précitée les causes concernant B. et A., respec- tivement le 10 août 2016 et le 6 avril 2017, pour les regrouper dans une nouvelle procédure désignée par la référence SV.16.1229. A.2 A la suite d’un mandat d’arrêt international émis par les autorités suisses, B. a été arrêté aux Pays-Bas le 28 juillet 2015 et placé en détention extraditionnelle jusqu’au 16 août 2016, date de son extradition vers la Suisse. Il a ensuite été maintenu en détention provisoire jusqu’au 5 mai 2017. Il se trouve en exécution anticipée de la peine depuis cette date. Quant à A., il a été arrêté au Danemark le 26 mai 2016 et placé en détention extraditionnelle jusqu’au 10 avril 2017, date de son extradition vers la Suisse. Il a ensuite été maintenu en détention provisoire jusqu’au 6 mars 2018 et il se trouve en exécution anticipée de la peine depuis lors. A.3 Par acte d’accusation du 21 novembre 2018, le MPC a renvoyé B. et A. en jugement devant la Cour des affaires pénales du Tribunal pénal fédéral pour répondre, l’un et l’autre, du chef d’accusation d’infraction grave à la loi fédérale sur les stupéfiants (art. 19 al. 1 let. b et c et al. 2 let. a, b et c LStup). A.4 En date du 22 mai 2019, la Cour des affaires pénales du Tribunal pénal fédéral a reconnu B. coupable de violation grave de la loi fédérale sur les stupéfiants (art. 19 al. 1 let. b et al. 2 let. a LStup) et l’a condamné à une peine privative de liberté de 7 ans et 6 mois sous déduction de la détention avant jugement subie à partir du 28 juillet 2015. S’agissant de A., il a été reconnu coupable de violation grave de la loi fédérale sur les stupéfiants (art. 19 al. 1 let. b et al. 2 let. a LStup) et condamné à une peine privative de liberté de 6 ans, sous déduction de la détention avant jugement subie à partir du 26 mai 2016. A.5 Le dispositif du jugement a été notifié par écrit aux parties en date du 23 mai 2019. B. Procédure devant la Cour d’appel du Tribunal pénal fédéral</w:t>
      </w:r>
    </w:p>
    <w:p>
      <w:r>
        <w:t>- 4 - B.1 Le 29 mai 2019, le MPC et Me Frank Tièche, défenseur d’office de A. (ci-après : Me Tièche), ont annoncé faire appel du jugement (CAR 1.100.001). B.2 Le jugement motivé a été notifié aux parties en date du 8 juillet 2019. B.3 En date du 26 juillet 2019, le MPC a déposé une déclaration d’appel motivée (CAR 1.100.181-184) dans laquelle il attaque le jugement partiellement, soit sur les points suivants :</w:t>
      </w:r>
    </w:p>
    <w:p>
      <w:r>
        <w:t>« Quotité de la peine (art. 399 al. 4 let. b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