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BV.2025.3 vom 4. Februar 2025</w:t>
      </w:r>
    </w:p>
    <w:p>
      <w:r>
        <w:t>Bundesstrafgericht, 2025-02-04, DE</w:t>
      </w:r>
    </w:p>
    <w:p>
      <w:r>
        <w:rPr>
          <w:b/>
        </w:rPr>
        <w:t xml:space="preserve">Quelle: </w:t>
      </w:r>
      <w:r>
        <w:t>https://mcp.opencaselaw.ch/entscheid/bstger_BV.2025.3</w:t>
      </w:r>
    </w:p>
    <w:p>
      <w:r>
        <w:t>FR: TPF BV.2025.3 du 4 février 2025</w:t>
      </w:r>
    </w:p>
    <w:p>
      <w:r>
        <w:t>IT: TPF BV.2025.3 del 4 febbraio 2025</w:t>
      </w:r>
    </w:p>
    <w:p>
      <w:pPr>
        <w:pStyle w:val="Heading2"/>
      </w:pPr>
      <w:r>
        <w:t>Regeste</w:t>
      </w:r>
    </w:p>
    <w:p>
      <w:r>
        <w:t>Amtshandlung (Art. 27 Abs. 1 und 3 VStrR)</w:t>
      </w:r>
    </w:p>
    <w:p>
      <w:pPr>
        <w:pStyle w:val="Heading2"/>
      </w:pPr>
      <w:r>
        <w:t>Erwägungen</w:t>
      </w:r>
    </w:p>
    <w:p>
      <w:r>
        <w:rPr>
          <w:b/>
        </w:rPr>
        <w:t>E. 15</w:t>
      </w:r>
    </w:p>
    <w:p>
      <w:r>
        <w:t>Juli 2021 E.1.3); die Beschwerdeführerin deshalb aus der bei der Post beantragten Verlängerung der Abholfrist und der effektiven Kenntnisnahme des Schreibens am 20. Januar 2025 (act. 1) nichts zu ihren Gunsten abzu- leiten vermag;</w:t>
      </w:r>
    </w:p>
    <w:p>
      <w:r>
        <w:t>- die Beschwerdeführerin im Übrigen von diesen Ausführungen zur Fristwah- rung bereits Kenntnis hatte, zumal der Vizedirektor des Beschwerdegegners im hier angefochtenen Entscheid vom 9. August 2024 auf die Beschwerde der Beschwerdeführerin vom 30. April 2024 mit ähnlicher Begründung nicht eintrat (act. 2, S. 3);</w:t>
      </w:r>
    </w:p>
    <w:p>
      <w:r>
        <w:t>- sich die Beschwerde vom 22. Januar 2024 (recte: 2025) nach dem Gesagten als verspätet erweist, weshalb auf sie nicht einzutreten ist;</w:t>
      </w:r>
    </w:p>
    <w:p>
      <w:r>
        <w:t>- 5 -</w:t>
      </w:r>
    </w:p>
    <w:p>
      <w:r>
        <w:t>- die Gerichtskosten bei diesem Ausgang des Verfahrens der Beschwerdefüh- rerin aufzuerlegen sind (Art. 25 Abs. 4 VStrR i.V.m. Art. 66 Abs. 1 BGG ana- log, siehe dazu TPF 2011 25 E. 3);</w:t>
      </w:r>
    </w:p>
    <w:p>
      <w:r>
        <w:t>- die Gerichtsgebühr vorliegend auf das reglementarische Minimum von Fr. 200.-- festzusetzen ist (vgl. Art. 5 und 8 Abs. 1 BStKR).</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