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BV.2025.29 vom 15. Mai 2025</w:t>
      </w:r>
    </w:p>
    <w:p>
      <w:r>
        <w:t>Bundesstrafgericht, 2025-05-15, DE</w:t>
      </w:r>
    </w:p>
    <w:p>
      <w:r>
        <w:rPr>
          <w:b/>
        </w:rPr>
        <w:t xml:space="preserve">Quelle: </w:t>
      </w:r>
      <w:r>
        <w:t>https://mcp.opencaselaw.ch/entscheid/bstger_BV.2025.29</w:t>
      </w:r>
    </w:p>
    <w:p>
      <w:r>
        <w:t>FR: TPF BV.2025.29 du 15 mai 2025</w:t>
      </w:r>
    </w:p>
    <w:p>
      <w:r>
        <w:t>IT: TPF BV.2025.29 del 15 maggio 2025</w:t>
      </w:r>
    </w:p>
    <w:p>
      <w:pPr>
        <w:pStyle w:val="Heading2"/>
      </w:pPr>
      <w:r>
        <w:t>Regeste</w:t>
      </w:r>
    </w:p>
    <w:p>
      <w:r>
        <w:t>Entschädigung bei Einstellung (Art. 100 Abs. 4 VStrR)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September 2022 den Maximalbetrag von Fr. 50.-- zu bezahlen hatte, wie er dies vorliegend geltend macht, weshalb vom Minimalbetrag auszugehen wäre;</w:t>
      </w:r>
    </w:p>
    <w:p>
      <w:r>
        <w:t>- selbst wenn dem Beschwerdeführer im Zusammenhang mit dem Verwal- tungsstrafverfahren Nr. 1 für Rechtsberatung ein Gesamtaufwand von Fr. 65.-- entstanden sein soll, dieser als geringfügig zu qualifizieren und als solcher vom Beschwerdeführer hinzunehmen wäre;</w:t>
      </w:r>
    </w:p>
    <w:p>
      <w:r>
        <w:t>- sich die vorliegende Beschwerde nach dem Gesagten offensichtlich als un- begründet erweist und daher ohne Durchführung eines Schriftenwechsels abzuweisen ist (vgl. Art. 82 VStrR i.V.m. Art. 390 Abs. 2 StPO e contrario);</w:t>
      </w:r>
    </w:p>
    <w:p>
      <w:r>
        <w:t>- bei diesem Ergebnis dem unterliegenden Beschwerdeführer keine Entschä- digung zusteht (vgl. Art. 66 Abs. 2 BGG);</w:t>
      </w:r>
    </w:p>
    <w:p>
      <w:r>
        <w:t>- die Gerichtskosten bei diesem Ausgang des Verfahrens dem Beschwerde- führer aufzuerlegen sind (Art. 66 Abs. 1 BGG analog; TPF 2011 25 E. 3);</w:t>
      </w:r>
    </w:p>
    <w:p>
      <w:r>
        <w:t>- die Gerichtsgebühr vorliegend auf Fr. 300.-- festzusetzen ist (Art. 25 Abs. 4 VStrR i.V.m. Art. 73 StBOG und Art. 5 und 8 Abs. 1 des Reglements des Bundesstrafgerichts vom 31. August 2010 über die Kosten, Gebühren und Entschädigungen in Bundesstrafverfahren [BStKR; SR 173.713.162]);</w:t>
      </w:r>
    </w:p>
    <w:p>
      <w:r>
        <w:t>- 8 -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