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BV.2024.9 vom 11. Juni 2024</w:t>
      </w:r>
    </w:p>
    <w:p>
      <w:r>
        <w:t>Bundesstrafgericht, 2024-06-11, DE</w:t>
      </w:r>
    </w:p>
    <w:p>
      <w:r>
        <w:rPr>
          <w:b/>
        </w:rPr>
        <w:t xml:space="preserve">Quelle: </w:t>
      </w:r>
      <w:r>
        <w:t>https://mcp.opencaselaw.ch/entscheid/bstger_BV.2024.9</w:t>
      </w:r>
    </w:p>
    <w:p>
      <w:r>
        <w:t>FR: TPF BV.2024.9 du 11 juin 2024</w:t>
      </w:r>
    </w:p>
    <w:p>
      <w:r>
        <w:t>IT: TPF BV.2024.9 del 11 giugno 2024</w:t>
      </w:r>
    </w:p>
    <w:p>
      <w:pPr>
        <w:pStyle w:val="Heading2"/>
      </w:pPr>
      <w:r>
        <w:t>Regeste</w:t>
      </w:r>
    </w:p>
    <w:p>
      <w:r>
        <w:t>Amtshandlung (Art. 27 Abs. 1 und 3 VStrR); aufschiebende Wirkung (Art. 28 Abs. 5 VStrR)</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m.w.H.). Davon abzuweichen besteht hier kein Grund. Der vorliegende Beschluss ergeht deshalb in deutscher Spra- che, auch wenn die Beschwerdeführerinnen die Beschwerde in französi- scher Sprache eingereicht haben.</w:t>
      </w:r>
    </w:p>
    <w:p>
      <w:r>
        <w:rPr>
          <w:b/>
        </w:rPr>
        <w:t>E. 2</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 immungen der StPO grundsätzlich analog anwendbar (BGE 139 IV 246 E. 1.2, E. 3.2; Urteile des Bundesgerichts 1B_210/2017 vom 23. Okto- ber 2017 E. 1.1; 1B_91/2016 vom 4. August 2016 E. 4.1; zum Ganzen Urteil des Bundesgerichts 1B_433/2017 vom 21. März 2018 E. 1.1).</w:t>
      </w:r>
    </w:p>
    <w:p>
      <w:r>
        <w:rPr>
          <w:b/>
        </w:rPr>
        <w:t>E. 3.1</w:t>
      </w:r>
    </w:p>
    <w:p>
      <w:r>
        <w:t>Gemäss den Marginalien zu Art. 26 und 27 VStrR kann gegen Untersu- chungshandlungen Beschwerde geführt werden. Das VStrR unterteilt die Untersuchungshandlungen in Zwangsmassnahmen im Sinne von Art. 45 ff. VStrR und sonstige Untersuchungshandlungen (LEONOVA, Basler Kommen- tar, 2020, N. 2 zu Art. 26 VStrR). Der Begriff der Untersuchungshandlungen erstreckt sich grundsätzlich auf alle Handlungen der Verwaltung, die in An- wendung der Art. 32 bis 72 VStrR vorgenommen werden, bevor die Unter- suchung formell abgeschlossen ist. Diese Handlungen können Anlass zu</w:t>
      </w:r>
    </w:p>
    <w:p>
      <w:r>
        <w:t>- 7 -</w:t>
      </w:r>
    </w:p>
    <w:p>
      <w:r>
        <w:t>einer Beschwerde nach Art. 26 (Zwangsmassnahmen) oder Art. 27 VStrR (sonstige Untersuchungshandlungen) geben (BGE 128 IV 219 E. 1.2). Bei sonstigen Untersuchungshandlungen bzw. mit ihnen zusammenhängenden Amtshandlungen sowie Säumnis kann gemäss Art. 27 Abs. 1 VStrR beim Direktor oder Chef der beteiligten Verwaltung Beschwerde geführt werden. Gegen den Beschwerdeentscheid des Direktors oder Chefs der beteiligten Verwaltung kann bei der Beschwerdekammer des Bundesstrafgerichts Be- schwerde geführt werden (Art. 27 Abs. 3 VStrR i.V.m. Art. 37 Abs. 2 lit. b des Bundesgesetzes vom 19. März 2010 über die Organisation der Strafbehör- den des Bundes [Strafbehördenorganisationsgesetz, StBOG; SR 173.71]). Die Beschwerde gegen einen Beschwerdeentscheid ist innert drei Tagen, nachdem dieser dem Beschwerdeführer eröffnet worden ist, schriftlich mit Antrag und kurzer Begründung einzureichen (Art. 28 Abs. 3 VStrR). Zur Be- schwerde ist berechtigt, wer durch den Beschwerdeentscheid berührt ist und ein schutzwürdiges Interesse an dessen Aufhebung oder Änderung hat (Art. 28 Abs. 1 VStrR).</w:t>
      </w:r>
    </w:p>
    <w:p>
      <w:r>
        <w:rPr>
          <w:b/>
        </w:rPr>
        <w:t>E. 3.2</w:t>
      </w:r>
    </w:p>
    <w:p>
      <w:r>
        <w:t>Im vorliegenden Fall fochten die Beschwerdeführerinnen eine «verfahrens- leitende Verfügung» des EFD vom 30. April 2024 an, mit welchem das Rechtshilfeersuchen der Bundesanwaltschaft vom 14. März 2024 gutgeheis- sen wurde. Diese Verfügung erging nach Erlass des Strafbescheides vom</w:t>
      </w:r>
    </w:p>
    <w:p>
      <w:r>
        <w:rPr>
          <w:b/>
        </w:rPr>
        <w:t>E. 3.3</w:t>
      </w:r>
    </w:p>
    <w:p>
      <w:r>
        <w:t>Zusammenfassend ist auf die Beschwerde nicht einzutreten.</w:t>
      </w:r>
    </w:p>
    <w:p>
      <w:r>
        <w:rPr>
          <w:b/>
        </w:rPr>
        <w:t>E. 4</w:t>
      </w:r>
    </w:p>
    <w:p>
      <w:r>
        <w:t>Sämtliche von den Beschwerdeführerinnen gestellten Anträge betreffend Er- teilung der aufschiebenden Wirkung und vorsorgliche Massnahmen werden mit dem Nichteintretensentscheid gegenstandslos und sind entsprechend abzuschreiben.</w:t>
      </w:r>
    </w:p>
    <w:p>
      <w:r>
        <w:rPr>
          <w:b/>
        </w:rPr>
        <w:t>E. 5</w:t>
      </w:r>
    </w:p>
    <w:p>
      <w:r>
        <w:t>Dem Ausgang des Verfahrens entsprechend sind die Gerichtskosten den unterliegenden Beschwerdeführerinnen unter solidarischer Haftung aufzuer- legen (Art. 25 Abs. 4 VStrR i.V.m. Art. 66 Abs. 1 und 5 BGG analog). Die Gerichtsgebühr ist auf Fr. 2’000.– festzusetzen (vgl. Art. 25 Abs. 4 VStrR i.V.m. Art. 73 StBOG und Art. 5 und 8 Abs. 1 des Reglements des Bun- desstrafgerichts vom 31. August 2010 über die Kosten, Gebühren und Ent- 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