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BV.2024.23 vom 15. April 2025</w:t>
      </w:r>
    </w:p>
    <w:p>
      <w:r>
        <w:t>Bundesstrafgericht, 2025-04-15, DE</w:t>
      </w:r>
    </w:p>
    <w:p>
      <w:r>
        <w:rPr>
          <w:b/>
        </w:rPr>
        <w:t xml:space="preserve">Quelle: </w:t>
      </w:r>
      <w:r>
        <w:t>https://mcp.opencaselaw.ch/entscheid/bstger_BV.2024.23</w:t>
      </w:r>
    </w:p>
    <w:p>
      <w:r>
        <w:t>FR: TPF BV.2024.23 du 15 avril 2025</w:t>
      </w:r>
    </w:p>
    <w:p>
      <w:r>
        <w:t>IT: TPF BV.2024.23 del 15 aprile 2025</w:t>
      </w:r>
    </w:p>
    <w:p>
      <w:pPr>
        <w:pStyle w:val="Heading2"/>
      </w:pPr>
      <w:r>
        <w:t>Regeste</w:t>
      </w:r>
    </w:p>
    <w:p>
      <w:r>
        <w:t>Amtshandlung (Art. 27 Abs. 1 und 3 VStrR) bzw. Ausstand (Art. 29 Abs. 1 und 2 VStrR); aufschiebende Wirkung (Art. 28 Abs. 5 VStrR)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Widerhandlungen gegen Art. 37 GwG (siehe hierzu Art. 1 Abs. 1 lit. f FINMAG) ist das Bundesgesetz vom 22. März 1974 über das Verwaltungs- strafrecht (VStrR; SR 313.0) anwendbar, soweit das FINMAG oder die Fi- nanzmarktgesetze gemäss Art. 1 Abs. 1 FINMAG nichts anderes bestimmen (Art. 50 Abs. 1 Satz 1 FINMAG). Verfolgende und urteilende Behörde ist das Generalsekretariat EFD (Art. 50 Abs. 1 Satz 2 FINMAG i.V.m. Art. 3 Abs. 1 und Art. 5 lit. e der Organisationsverordnung vom 17. Februar 2010 für das Eidgenössische Finanzdepartement [OV-EFD; SR 172.215.1]).</w:t>
      </w:r>
    </w:p>
    <w:p>
      <w:r>
        <w:rPr>
          <w:b/>
        </w:rPr>
        <w:t>E. 1.2</w:t>
      </w:r>
    </w:p>
    <w:p>
      <w:r>
        <w:t>Gegen einen Beschwerdeentscheid des Direktors oder Chefs der beteiligten Verwaltung im Sinne von Art. 27 Abs. 2 VStrR betreffend Amtshandlungen oder Säumnis des untersuchenden Beamten kann bei der Beschwerdekam- mer des Bundesstrafgerichts Beschwerde geführt werden (Art. 27 Abs. 3 VStrR i.V.m. Art. 37 Abs. 2 lit. b StBOG). Die Beschwerde steht auch offen gegen Entscheide des Vorgesetzten über den streitigen Ausstand des Be- amten, der eine Untersuchung zu führen, einen Entscheid zu treffen oder diesen vorzubereiten hat (vgl. Art. 29 Abs. 2 VStrR).</w:t>
      </w:r>
    </w:p>
    <w:p>
      <w:r>
        <w:rPr>
          <w:b/>
        </w:rPr>
        <w:t>E. 2.1</w:t>
      </w:r>
    </w:p>
    <w:p>
      <w:r>
        <w:t>Nach dem Grundsatz der Prozessökonomie und im Lichte des verfassungs- rechtlichen Anspruchs auf Beurteilung innert angemessener Frist (Art. 29 Abs. 1 BV) sind Verfahren möglichst einfach, rasch und zweckmässig zum Abschluss zu bringen. Es steht im Ermessen des Gerichts, Verfahren nach diesem Grundsatz zu vereinen (vgl. hierzu zuletzt die Beschlüsse des Bun- desstrafgerichts BV.2022.34 vom 17. Februar 2023 E. 1.1; BV.2022.18 vom 22. November 2022 E. 1.1; BV.2021.48 vom 14. Juli 2022 E. 1.2; jeweils m.w.H.).</w:t>
      </w:r>
    </w:p>
    <w:p>
      <w:r>
        <w:rPr>
          <w:b/>
        </w:rPr>
        <w:t>E. 2.2</w:t>
      </w:r>
    </w:p>
    <w:p>
      <w:r>
        <w:t>Die Beschwerden vom 2. September 2024, 13. Januar 2025 und 6. Februar 2025 betreffen dieselbe verwaltungsstrafrechtliche Untersuchung. Der den rechtlich zusammenhängenden Beschwerdegegenständen zu Grunde lie- gende Sachverhalt war teilweise ebenfalls identisch. Infolge des nunmehr erfolgten Rückzugs aller drei Beschwerden und dem darauf gestützten ein- heitlichen Verfahrensausgang rechtfertigt es sich, die Verfahren BV.2024.23, BV.2025.2 und BV.2025.6 zu vereinigen und mit einem einzigen Beschluss zu beurteilen.</w:t>
      </w:r>
    </w:p>
    <w:p>
      <w:r>
        <w:t>- 6 -</w:t>
      </w:r>
    </w:p>
    <w:p>
      <w:r>
        <w:rPr>
          <w:b/>
        </w:rPr>
        <w:t>E. 3</w:t>
      </w:r>
    </w:p>
    <w:p>
      <w:r>
        <w:t>Im Bereich des Verwaltungsstrafrechts beendet der Rückzug der Beschwer- den den Rechtsstreit, weshalb die Beschwerdeverfahren als erledigt abgeschrieben werden können (vgl. hierzu den Beschluss des Bundesstraf- gerichts BV.2011.22 vom 19. Juli 2011 m.w.H.).</w:t>
      </w:r>
    </w:p>
    <w:p>
      <w:r>
        <w:rPr>
          <w:b/>
        </w:rPr>
        <w:t>E. 4</w:t>
      </w:r>
    </w:p>
    <w:p>
      <w:r>
        <w:t>Die jeweiligen Nebenverfahren betreffend aufschiebende Wirkung sind bei diesem Ausgang der Beschwerdeverfahren als gegenstandslos abzuschrei- ben.</w:t>
      </w:r>
    </w:p>
    <w:p>
      <w:r>
        <w:rPr>
          <w:b/>
        </w:rPr>
        <w:t>E. 5.1</w:t>
      </w:r>
    </w:p>
    <w:p>
      <w:r>
        <w:t>Bei diesem Ausgang der Verfahren kann auf die Erhebung von Gerichtskos- ten ganz oder teilweise verzichtet werden (vgl. Art. 66 Abs. 2 BGG analog [vgl. hierzu TPF 2011 25 E. 3]).</w:t>
      </w:r>
    </w:p>
    <w:p>
      <w:r>
        <w:rPr>
          <w:b/>
        </w:rPr>
        <w:t>E. 5.2</w:t>
      </w:r>
    </w:p>
    <w:p>
      <w:r>
        <w:t>Aufgrund des bis zum Rückzug der Beschwerden in allen drei Verfahren ver- ursachten Kanzleiaufwands ist vorliegend eine reduzierte Gerichtsgebühr von Fr. 1’000.– zu erheben (vgl. Art. 73 StBOG und Art. 5 und 8 Abs. 1 des Reglements des Bundesstrafgerichts vom 31. August 2010 über die Kosten, Gebühren und Entschädigungen in Bundesstrafverfahren [BStKR; SR 173.713.162]). Der entsprechende Betrag ist an den vom Beschwerde- führer geleisteten Kostenvorschüssen in der Höhe von insgesamt Fr. 4'000.– anzurechnen (vgl. BV.2024.23, act. 2 und 6; BV.2025.6, act. 2 und 7). Die Bundesstrafgerichtskasse hat dem Beschwerdeführer Fr. 3'000.– zurückzu- erstatten.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