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BV.2024.17 vom 2. April 2025</w:t>
      </w:r>
    </w:p>
    <w:p>
      <w:r>
        <w:t>Bundesstrafgericht, 2025-04-02, DE</w:t>
      </w:r>
    </w:p>
    <w:p>
      <w:r>
        <w:rPr>
          <w:b/>
        </w:rPr>
        <w:t xml:space="preserve">Quelle: </w:t>
      </w:r>
      <w:r>
        <w:t>https://mcp.opencaselaw.ch/entscheid/bstger_BV.2024.17</w:t>
      </w:r>
    </w:p>
    <w:p>
      <w:r>
        <w:t>FR: TPF BV.2024.17 du 2 avril 2025</w:t>
      </w:r>
    </w:p>
    <w:p>
      <w:r>
        <w:t>IT: TPF BV.2024.17 del 2 aprile 2025</w:t>
      </w:r>
    </w:p>
    <w:p>
      <w:pPr>
        <w:pStyle w:val="Heading2"/>
      </w:pPr>
      <w:r>
        <w:t>Regeste</w:t>
      </w:r>
    </w:p>
    <w:p>
      <w:r>
        <w:t>Beschlagnahme (Art. 46 f. VStrR)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Nach dem Grundsatz der Prozessökonomie und im Lichte des verfassungs- rechtlichen Anspruchs auf Beurteilung innert angemessener Frist (Art. 29 Abs. 1 BV) sind Verfahren möglichst einfach, rasch und zweckmässig zum Abschluss zu bringen. Es steht im Ermessen des Gerichts, Verfahren nach diesem Grundsatz zu vereinen (vgl. Beschlüsse des Bundesstrafgerichts BV.2019.13-17 vom 13. August 2019 E. 1; BV.2016.19-20 vom 7. Dezember 2016 E. 1).</w:t>
      </w:r>
    </w:p>
    <w:p>
      <w:r>
        <w:rPr>
          <w:b/>
        </w:rPr>
        <w:t>E. 1.2</w:t>
      </w:r>
    </w:p>
    <w:p>
      <w:r>
        <w:t>Nachdem das Beschwerdeverfahren BV.2024.13 bereits mit Beschluss vom</w:t>
      </w:r>
    </w:p>
    <w:p>
      <w:r>
        <w:rPr>
          <w:b/>
        </w:rPr>
        <w:t>E. 5</w:t>
      </w:r>
    </w:p>
    <w:p>
      <w:r>
        <w:t>Nach dem Gesagten ist die Beschwerde vollumfänglich abzuweisen.</w:t>
      </w:r>
    </w:p>
    <w:p>
      <w:r>
        <w:t>- 12 -</w:t>
      </w:r>
    </w:p>
    <w:p>
      <w:r>
        <w:rPr>
          <w:b/>
        </w:rPr>
        <w:t>E. 6</w:t>
      </w:r>
    </w:p>
    <w:p>
      <w:r>
        <w:t>Dem Ausgang des Verfahrens entsprechend sind die Gerichtskosten dem unterliegenden Beschwerdeführer aufzuerlegen (Art. 25 Abs. 4 VStrR i.V.m. Art. 66 Abs. 1 BGG analog, siehe dazu TPF 2011 25 E. 3). Die Gerichtsge- bühr ist auf Fr. 2'000.– festzusetzen (vgl. Art. 5 und 8 Abs. 1 des Reglements des Bundesstrafgerichts vom 31. August 2010 über die Kosten, Gebühren und Entschädigungen in Bundesstrafverfahren [BStKR; SR 173.713.162]), unter Anrechnung des geleisteten Kostenvorschusses in gleicher Höhe.</w:t>
      </w:r>
    </w:p>
    <w:p>
      <w:r>
        <w:t>- 13 -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