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BV.2023.28 vom 29. August 2023</w:t>
      </w:r>
    </w:p>
    <w:p>
      <w:r>
        <w:t>Bundesstrafgericht, 2023-08-29, DE</w:t>
      </w:r>
    </w:p>
    <w:p>
      <w:r>
        <w:rPr>
          <w:b/>
        </w:rPr>
        <w:t xml:space="preserve">Quelle: </w:t>
      </w:r>
      <w:r>
        <w:t>https://mcp.opencaselaw.ch/entscheid/bstger_BV.2023.28</w:t>
      </w:r>
    </w:p>
    <w:p>
      <w:r>
        <w:t>FR: TPF BV.2023.28 du 29 août 2023</w:t>
      </w:r>
    </w:p>
    <w:p>
      <w:r>
        <w:t>IT: TPF BV.2023.28 del 29 agosto 2023</w:t>
      </w:r>
    </w:p>
    <w:p>
      <w:pPr>
        <w:pStyle w:val="Heading2"/>
      </w:pPr>
      <w:r>
        <w:t>Regeste</w:t>
      </w:r>
    </w:p>
    <w:p>
      <w:r>
        <w:t>Beschlagnahme (Art. 46 f. VStrR)</w:t>
      </w:r>
    </w:p>
    <w:p>
      <w:pPr>
        <w:pStyle w:val="Heading2"/>
      </w:pPr>
      <w:r>
        <w:t>Erwägungen</w:t>
      </w:r>
    </w:p>
    <w:p>
      <w:r>
        <w:rPr>
          <w:b/>
        </w:rPr>
        <w:t>E. 1</w:t>
      </w:r>
    </w:p>
    <w:p>
      <w:r>
        <w:t>Die Beschwerde gegen schriftlich oder mündlich eröffnete Entscheide ist innert 10 Tagen schriftlich und begründet bei der Beschwerdeinstanz einzureichen (Art. 396 Abs. 1 StPO; Art. 390 Abs. 1 StPO). Schriftliche Ein- gaben sind zu datieren und zu unterzeichnen (Art. 110 Abs. 1 StPO). Nach ständiger Rechtsprechung des Bundesgerichts muss die Unterschrift eigen- händig auf dem Schriftdokument angebracht werden (BGE 142 IV 299 E. 1.1; 112 Ia 173 E. 1). Eine in Kopie oder sonstwie durch eine Reproduktion</w:t>
      </w:r>
    </w:p>
    <w:p>
      <w:r>
        <w:t>- 3 -</w:t>
      </w:r>
    </w:p>
    <w:p>
      <w:r>
        <w:t>übermittelte Unterschrift stellt keine Unterschrift im Sinne des Gesetzes dar (Urteile des Bundesgerichts 6B_307/2021 vom 31. Mai 2021 E. 2; 1B_304/2013 vom 27. September 2013 E. 2.2).</w:t>
      </w:r>
    </w:p>
    <w:p>
      <w:r>
        <w:t>Das Gericht setzte dem Beschwerdeführer am 11. August 2023 eine Nach- frist gemäss Art. 385 Abs. 2 StPO, um seine Originalunterschrift auf einer Kopie seiner Beschwerde vom 3. August 2023 anzubringen und damit den Formmangel zu verbessern. Die Frist lief unbenützt ab. Aus diesem Grund ist androhungsgemäss auf die Beschwerde nicht einzutreten.</w:t>
      </w:r>
    </w:p>
    <w:p>
      <w:r>
        <w:rPr>
          <w:b/>
        </w:rPr>
        <w:t>E. 2</w:t>
      </w:r>
    </w:p>
    <w:p>
      <w:r>
        <w:t>Vorliegend sind keine Gerichtskosten zu erheben.</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