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BV.2022.7 vom 2. März 2022</w:t>
      </w:r>
    </w:p>
    <w:p>
      <w:r>
        <w:t>Bundesstrafgericht, 2022-03-02, DE</w:t>
      </w:r>
    </w:p>
    <w:p>
      <w:r>
        <w:rPr>
          <w:b/>
        </w:rPr>
        <w:t xml:space="preserve">Quelle: </w:t>
      </w:r>
      <w:r>
        <w:t>https://mcp.opencaselaw.ch/entscheid/bstger_BV.2022.7</w:t>
      </w:r>
    </w:p>
    <w:p>
      <w:r>
        <w:t>FR: TPF BV.2022.7 du 2 mars 2022</w:t>
      </w:r>
    </w:p>
    <w:p>
      <w:r>
        <w:t>IT: TPF BV.2022.7 del 2 marzo 2022</w:t>
      </w:r>
    </w:p>
    <w:p>
      <w:pPr>
        <w:pStyle w:val="Heading2"/>
      </w:pPr>
      <w:r>
        <w:t>Regeste</w:t>
      </w:r>
    </w:p>
    <w:p>
      <w:r>
        <w:t>Beschlagnahme (Art. 46 f. VStrR); Rückzug der Beschwerde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Februar 2022 der Beschwerdekammer des Bundesstrafgerichts weiter- leitete und sie um kostenfällige Abweisung der Beschwerde ersucht (act. 2);</w:t>
      </w:r>
    </w:p>
    <w:p>
      <w:r>
        <w:t>- das Gericht A. mit Schreiben vom 22. Februar 2022 zur Leistung eines Kos- tenvorschusses von Fr. 2'000.-- aufforderte (act. 5);</w:t>
      </w:r>
    </w:p>
    <w:p>
      <w:r>
        <w:t>- A. dem Gericht mit Schreiben vom 1. März 2022 mitteilte, dass sie ihre Be- schwerde zurückziehe (act. 6);</w:t>
      </w:r>
    </w:p>
    <w:p>
      <w:r>
        <w:t>- für Leistungsbetrug das VStrR Anwendung findet (Art. 37 SuG) und vom zu- ständigen Bundesamt verfolgt und beurteilt, das die Subvention bzw. Vorteile gewährte (Art. 39 Abs. 1 SuG);</w:t>
      </w:r>
    </w:p>
    <w:p>
      <w:r>
        <w:t>- gegen Zwangsmassnahmen im Sinne der Art. 45 ff. VStrR und damit zusam- menhängende Amtshandlungen bei der Beschwerdekammer des Bun- desstrafgerichts Beschwerde geführt werden kann (Art. 26 Abs. 1 VStrR i.V.m. Art. 37 Abs. 2 lit. b des Bundesgesetzes vom 19. März 2010 über die Organisation der Strafbehörden des Bundes; Strafbehördenorganisations- gesetz, StBOG; SR 173.71);</w:t>
      </w:r>
    </w:p>
    <w:p>
      <w:r>
        <w:t>- die Beschwerdeführerin mit Schreiben vom 1. März 2022 die Beschwerde zurückzog (act. 6);</w:t>
      </w:r>
    </w:p>
    <w:p>
      <w:r>
        <w:t>- 3 -</w:t>
      </w:r>
    </w:p>
    <w:p>
      <w:r>
        <w:t>- der Rückzug der Beschwerde den Rechtsstreit beendet, weshalb das Be- schwerdeverfahren als erledigt abzuschreiben ist (vgl. Beschluss des Bun- desstrafgerichts BV.2015.9 vom 8. Mai 2015);</w:t>
      </w:r>
    </w:p>
    <w:p>
      <w:r>
        <w:t>- sich die Verteilung der Gerichtskosten in verwaltungsstrafrechtlichen Be- schwerdeverfahren nach den Bestimmungen des Bundesgesetzes vom 17. Juni 2005 über das Bundesgericht richtet (Art. 25 Abs. 4 VStrR i.V.m. Art. 66 ff. BGG analog; siehe dazu TPF 2011 25 E. 3);</w:t>
      </w:r>
    </w:p>
    <w:p>
      <w:r>
        <w:t>- die Verteilung der Gerichtskosten in der Regel nach dem Erfolgsprinzip, d.h. nach Obsiegen bzw. Unterliegen der Parteien erfolgt (Art. 66 Abs. 1 BGG analog; GEISER, Basler Kommentar, 3. Aufl. 2018, Art. 66 BGG N. 16);</w:t>
      </w:r>
    </w:p>
    <w:p>
      <w:r>
        <w:t>- die Gerichtskosten für das vorliegende Beschwerdeverfahren grundsätzlich der Beschwerdeführerin aufzuerlegen sind (Art. 66 Abs. 1 BGG analog; TPF 2011 25 E. 3);</w:t>
      </w:r>
    </w:p>
    <w:p>
      <w:r>
        <w:t>- bei Erledigung zufolge Rückzugs der Beschwerde auf die Erhebung der Ge- richtskosten ganz oder teilweise verzichtet werden kann, wobei dem Gericht grosses Ermessen zukommt (Art. 66 Abs. 2 BGG analog; GEISER, a.a.O., Art. 66 BGG N. 20);</w:t>
      </w:r>
    </w:p>
    <w:p>
      <w:r>
        <w:t>- die Gebühren im Beschwerdeverfahren bei Fr. 200 bis Fr. 50'000 liegen (Art. 8 Abs. 1 BStKR);</w:t>
      </w:r>
    </w:p>
    <w:p>
      <w:r>
        <w:t>- die Gerichtsgebühr für das vorliegende Verfahren angesichts des bisher an- gefallenen Aufwandes auf das gesetzliche und reglementarische Minimum von Fr. 200.-- festzusetzen (vgl. Art. 25 Abs. 4 VStrR i.V.m. Art. 73 StBOG und Art. 5 und 8 Abs. 1 BStKR) und der Beschwerdeführerin aufzuerlegen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