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BV.2022.42 vom 13. Dezember 2022</w:t>
      </w:r>
    </w:p>
    <w:p>
      <w:r>
        <w:t>Bundesstrafgericht, 2022-12-13, DE</w:t>
      </w:r>
    </w:p>
    <w:p>
      <w:r>
        <w:rPr>
          <w:b/>
        </w:rPr>
        <w:t xml:space="preserve">Quelle: </w:t>
      </w:r>
      <w:r>
        <w:t>https://mcp.opencaselaw.ch/entscheid/bstger_BV.2022.42</w:t>
      </w:r>
    </w:p>
    <w:p>
      <w:r>
        <w:t>FR: TPF BV.2022.42 du 13 décembre 2022</w:t>
      </w:r>
    </w:p>
    <w:p>
      <w:r>
        <w:t>IT: TPF BV.2022.42 del 13 dicembre 2022</w:t>
      </w:r>
    </w:p>
    <w:p>
      <w:pPr>
        <w:pStyle w:val="Heading2"/>
      </w:pPr>
      <w:r>
        <w:t>Regeste</w:t>
      </w:r>
    </w:p>
    <w:p>
      <w:r>
        <w:t>Beschlagnahme (Art. 46 f. VStrR); Kostenvorschuss (Art. 62 Abs. 3 Satz 3 BGG analog)</w:t>
      </w:r>
    </w:p>
    <w:p>
      <w:pPr>
        <w:pStyle w:val="Heading2"/>
      </w:pPr>
      <w:r>
        <w:t>Erwägungen</w:t>
      </w:r>
    </w:p>
    <w:p>
      <w:r>
        <w:rPr>
          <w:b/>
        </w:rPr>
        <w:t>E. 31</w:t>
      </w:r>
    </w:p>
    <w:p>
      <w:r>
        <w:t>August 2022 E. 3.4);</w:t>
      </w:r>
    </w:p>
    <w:p>
      <w:r>
        <w:t>- sich die Kostenpflicht im Beschwerdeverfahren vor der Beschwerdekammer nach Art. 73 des Bundesgesetzes vom 19. März 2010 über die Organisation der Strafbehörden des Bundes (Strafbehördenorganisationsgesetz, StBOG; SR 173.71) richtet (Art. 25 Abs. 4 VStrR);</w:t>
      </w:r>
    </w:p>
    <w:p>
      <w:r>
        <w:t>- Art. 73 StBOG im Wesentlichen nur auf das Reglement des Bundesstrafge- richts vom 31. August 2010 über die Kosten, Gebühren und Entschädigun- gen in Bundesstrafverfahren (BStKR; SR 173.713.162) verweist;</w:t>
      </w:r>
    </w:p>
    <w:p>
      <w:r>
        <w:t>- dem BStKR keine Regelung über Erhebung, Sicherstellung und Verteilung von Gerichtskosten entnommen werden kann, weshalb diesbezüglich nach ständiger Rechtsprechung ergänzend die Regeln des Bundesgesetzes vom 17. Juni 2005 über das Bundesgericht (Bundesgerichtsgesetz, BGG; SR 173.110) anzuwenden sind (TPF 2011 25 E. 3);</w:t>
      </w:r>
    </w:p>
    <w:p>
      <w:r>
        <w:t>- 4 -</w:t>
      </w:r>
    </w:p>
    <w:p>
      <w:r>
        <w:t>- der Instruktionsrichter oder die Instruktionsrichterin des Beschwerdeverfah- rens eine angemessene Frist zur Leistung eines Kostenvorschusses setzt, wobei er oder sie der Partei eine Nachfrist ansetzt, wenn diese unbenutzt abläuft (Art. 62 Abs. 3 Satz 1 und Satz 2 BGG analog);</w:t>
      </w:r>
    </w:p>
    <w:p>
      <w:r>
        <w:t>- die Beschwerdekammer auf die Beschwerde nicht eintritt, wenn der Kosten- vorschuss auch innerhalb dieser Nachfrist nicht geleistet wird (Art. 62 Abs. 3 Satz 3 BGG analog);</w:t>
      </w:r>
    </w:p>
    <w:p>
      <w:r>
        <w:t>- der Beschwerdeführer die ihm zur Leistung des Kostenvorschusses ange- setzte Nachfrist unbenutzt verstreichen liess, weshalb auf seine Beschwerde androhungsgemäss nicht einzutreten ist;</w:t>
      </w:r>
    </w:p>
    <w:p>
      <w:r>
        <w:t>- bei diesem Ausgang des Verfahrens der Beschwerdeführer als unterlie- gende Partei die Kosten für das Beschwerdeverfahren zu tragen hat (Art. 66 Abs. 1 BGG analog);</w:t>
      </w:r>
    </w:p>
    <w:p>
      <w:r>
        <w:t>- die Gerichtsgebühr dabei auf Fr. 400.-- festzusetzen ist (Art. 73 StBOG und Art. 5 und Art. 8 Abs. 1 BStKR).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