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BV.2022.17 vom 19. Oktober 2022</w:t>
      </w:r>
    </w:p>
    <w:p>
      <w:r>
        <w:t>Bundesstrafgericht, 2022-10-19, DE</w:t>
      </w:r>
    </w:p>
    <w:p>
      <w:r>
        <w:rPr>
          <w:b/>
        </w:rPr>
        <w:t xml:space="preserve">Quelle: </w:t>
      </w:r>
      <w:r>
        <w:t>https://mcp.opencaselaw.ch/entscheid/bstger_BV.2022.17</w:t>
      </w:r>
    </w:p>
    <w:p>
      <w:r>
        <w:t>FR: TPF BV.2022.17 du 19 octobre 2022</w:t>
      </w:r>
    </w:p>
    <w:p>
      <w:r>
        <w:t>IT: TPF BV.2022.17 del 19 ottobre 2022</w:t>
      </w:r>
    </w:p>
    <w:p>
      <w:pPr>
        <w:pStyle w:val="Heading2"/>
      </w:pPr>
      <w:r>
        <w:t>Regeste</w:t>
      </w:r>
    </w:p>
    <w:p>
      <w:r>
        <w:t>Amtshandlung (Art. 27 Abs. 1 und 3 VStrR); aufschiebende Wirkung (Art. 28 Abs. 5 VStrR)</w:t>
      </w:r>
    </w:p>
    <w:p>
      <w:pPr>
        <w:pStyle w:val="Heading2"/>
      </w:pPr>
      <w:r>
        <w:t>Erwägungen</w:t>
      </w:r>
    </w:p>
    <w:p>
      <w:r>
        <w:rPr>
          <w:b/>
        </w:rPr>
        <w:t>E. 1</w:t>
      </w:r>
    </w:p>
    <w:p>
      <w:r>
        <w:t>Ist die Verfolgung und Beurteilung von Widerhandlungen einer Verwaltungs- behörde des Bundes übertragen, so findet das VStrR Anwendung (Art. 1 VStrR). Die Bestimmungen der StPO sind insoweit ergänzend oder sinnge- mäss anwendbar,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S. 248, E. 3.2 S. 249; Urteile des Bundesgerichts 1B_210/2017 vom 23. Oktober 2017 E. 1.1; 1B_91/2016 vom 4. August 2016 E. 4.1; zum Gan- zen Urteil des Bundesgerichts 1B_433/2017 vom 21. März 2018 E. 1.1).</w:t>
      </w:r>
    </w:p>
    <w:p>
      <w:r>
        <w:rPr>
          <w:b/>
        </w:rPr>
        <w:t>E. 2.1</w:t>
      </w:r>
    </w:p>
    <w:p>
      <w:r>
        <w:t>Gegen einen Beschwerdeentscheid im Sinne von Art. 27 Abs. 2 VStrR kann bei der Beschwerdekammer des Bundesstrafgerichts Beschwerde geführt werden (Art. 27 Abs. 3 VStrR i.V.m. Art. 37 Abs. 2 lit. b des Bundesgesetzes vom 19. März 2010 über die Organisation der Strafbehörden des Bundes [Strafbehördenorganisationsgesetz, StBOG; SR 173.71]). Die Beschwerde</w:t>
      </w:r>
    </w:p>
    <w:p>
      <w:r>
        <w:t>- 5 -</w:t>
      </w:r>
    </w:p>
    <w:p>
      <w:r>
        <w:t>gegen einen Beschwerdeentscheid ist innert drei Tagen, nachdem dieser dem Beschwerdeführer eröffnet worden ist, schriftlich mit Antrag und kurzer Begründung einzureichen (Art. 28 Abs. 3 VStrR). Zur Beschwerde ist berech- tigt, wer durch den Beschwerdeentscheid berührt ist und ein schutzwürdiges Interesse an dessen Aufhebung oder Änderung hat (Art. 28 Abs. 1 VStrR).</w:t>
      </w:r>
    </w:p>
    <w:p>
      <w:r>
        <w:rPr>
          <w:b/>
        </w:rPr>
        <w:t>E. 2.2</w:t>
      </w:r>
    </w:p>
    <w:p>
      <w:r>
        <w:t>Die vorliegende Beschwerde richtet sich gegen den Beschwerdeentscheid der Direktorin des Beschwerdegegners vom 31. Mai 2022, welchen sie ge- stützt auf Art. 27 VStrR erlassen und mit welchem sie auf die Beschwerde des Beschwerdeführers vom 13. Mai 2022 nicht eingetreten ist (act. 1.1). Als Adressat des Entscheids ist der Beschwerdeführer beschwerdebefugt. Auf die im Übrigen form- und fristgerecht erhobene Beschwerde ist einzutreten.</w:t>
      </w:r>
    </w:p>
    <w:p>
      <w:r>
        <w:rPr>
          <w:b/>
        </w:rPr>
        <w:t>E. 3.1</w:t>
      </w:r>
    </w:p>
    <w:p>
      <w:r>
        <w:t>Im Beschwerdeentscheid vom 31. Mai 2022 wurde im Wesentlichen ausge- führt, dass nur individuell-konkrete Anordnungen, mit welchen für den Adressaten eine verbindliche und erzwingbare Rechtswirkung erzielt werde, anfechtbar seien. Die Untersuchungsleiter hätten im März und anfangs Mai 2022 je zu einer Einvernahme vorgeladen. Diese Vorladungen seien nicht an den Beschwerdeführer gerichtet und könnten daher nicht Anfechtungsob- jekt seiner Beschwerde sein. Der Beschwerdeführer verlange auch nicht die Aufhebung der Vorladungen, sondern dass den Verfahrensleitern die Unter- suchungsleitung entzogen werde, weil diese faktisch der ESTV delegiert worden sei. Die Anstellung der Verfahrensleiter sei ein Akt der beteiligten Bundesverwaltung, stelle jedoch als Begründung eines öffentlich-rechtlichen Arbeitsverhältnisses keinen mit Beschwerde nach Art. 27 VStrR anfechtba- ren Vorgang dar. Dass der Beschwerdeführer aufgrund seiner früheren Tätigkeit von den Ermittlungen betroffen sein könnte, sei lediglich eine Ver- mutung. Der Beschwerdeführer sei aktuell von keiner konkreten Untersu- chungsmassnahme betroffen, welche ihm eine Pflicht aufbürde oder sonst wie in seiner Rechtstellung beeinflusse. Daher habe der Beschwerdeführer am Aufheben bisheriger und aktueller Untersuchungshandlungen kein schutzwürdiges Interesse. Da die Direktorin des Beschwerdegegners das Vorliegen eines Anfechtungsobjekts verneinte und dem Beschwerdeführer die Beschwerdebefugnis absprach, wurde offengelassen, ob die Be- schwerde vom 13. Mai 2022 fristgerecht erhoben wurde (act. 1.1).</w:t>
      </w:r>
    </w:p>
    <w:p>
      <w:r>
        <w:rPr>
          <w:b/>
        </w:rPr>
        <w:t>E. 3.2</w:t>
      </w:r>
    </w:p>
    <w:p>
      <w:r>
        <w:t>Der Beschwerdeführer hält dem vorliegend entgegen, bei den ergangenen Vorladungen handle es sich um Untersuchungshandlungen nach Art. 32-72 VStrR. Anhand dieser Vorladungen fechte er im frühest möglichen Zeitpunkt die sachliche Zuständigkeit der Untersuchungsleitung an. Ein Zuwarten bis</w:t>
      </w:r>
    </w:p>
    <w:p>
      <w:r>
        <w:t>- 6 -</w:t>
      </w:r>
    </w:p>
    <w:p>
      <w:r>
        <w:t>zu einer allfälligen Überweisung würde angesichts der Vorgeschichte wohl von keiner Rechtsmittelinstanz toleriert werden. Deshalb sei der Begriff der «Untersuchungshandlungen» weit auszulegen und einer Anfechtung zu- gänglich zu machen. Der Beschwerdeführer sei bereits in der zurückgewie- senen Anklage Beschuldigter gewesen und mit Sicherheit würden sich die Ermittlungen der Untersuchungsleiter nun auch gegen ihn richten. Er sei von den Amtshandlungen, von welchen er nach dem Urteil des Bundesgerichts erfahren habe, betroffen und habe ein schutzwürdiges Interesse an deren Aufhebung bzw. an der rechtlichen Beurteilung, ob die eingesetzten Verfah- rensleiter auf genügender gesetzlicher Grundlage handeln würden. Nach einer an ihn gerichteten Vorladung würde er ohnehin als formell beschwert gelten und damit zum Rechtsmittel legitimiert sein. Ihm die Beschwerdebe- fugnis als durch die Vorladungen berührtem Dritten abzusprechen, mache auch prozessökonomisch keinen Sinn (act. 1).</w:t>
      </w:r>
    </w:p>
    <w:p>
      <w:r>
        <w:rPr>
          <w:b/>
        </w:rPr>
        <w:t>E. 3.3.1</w:t>
      </w:r>
    </w:p>
    <w:p>
      <w:r>
        <w:t>Gegenstand des Verfahrens bildet der Beschwerdeentscheid vom 31. Mai 2022. Dementsprechend ist vorliegend zu prüfen, ob die Direktorin des Be- schwerdegegners unter den zum Zeitpunkt des Erlasses gegebenen Um- ständen auf die Beschwerde vom 13. Mai 2022 nicht eintreten durfte.</w:t>
      </w:r>
    </w:p>
    <w:p>
      <w:r>
        <w:rPr>
          <w:b/>
        </w:rPr>
        <w:t>E. 3.3.2</w:t>
      </w:r>
    </w:p>
    <w:p>
      <w:r>
        <w:t>Zur Beschwerde nach Art. 27 VStrR ist u.a. berechtigt, wer durch die ange- fochtene Amtshandlung berührt ist und ein schutzwürdiges Interesse an deren Aufhebung oder Änderung hat (Art. 28 Abs. 1 VStrR). Zum Zeitpunkt des Erlasses des hier angefochtenen Beschwerdeentscheids führte der Beschwerdegegner die Untersuchung gegen Unbekannt. Soweit aus den vorliegenden Akten und den Ausführungen der hier streitenden Parteien hervorgeht, war der Beschwerdeführer zu diesem Zeitpunkt in der vom Beschwerdegegner geführten Untersuchung nicht beteiligt. Die vom Be- schwerdeführer erwähnten Vorladungen betreffen laut den Ausführungen des Beschwerdegegners andere Personen. Unbestrittermassen ergingen gegenüber dem Beschwerdeführer bisher keine Vorladungen oder sonstige Untersuchungshandlungen. Damit ist der Beschwerdeführer von einer von den aktuellen Untersuchungsleitern angeordneten individuell-konkreten Amtshandlung nicht betroffen. Mangels einer Amts- bzw. Untersuchungs- handlung gegenüber dem Beschwerdeführer ist ihm das schutzwürdige Interesse abzusprechen, die von Lauber und Pollace gegenüber anderen Personen durchgeführten oder angeordneten Verfahrenshandlungen auf deren Rechtmässigkeit überprüfen zu dürfen. Aus der Tatsache, dass die Verfahrensleiter gegenüber anderen Personen Vorladungen erlassen ha- ben, vermag der Beschwerdeführer nichts zu seinen Gunsten abzuleiten.</w:t>
      </w:r>
    </w:p>
    <w:p>
      <w:r>
        <w:t>- 7 -</w:t>
      </w:r>
    </w:p>
    <w:p>
      <w:r>
        <w:rPr>
          <w:b/>
        </w:rPr>
        <w:t>E. 3.3.3</w:t>
      </w:r>
    </w:p>
    <w:p>
      <w:r>
        <w:t>Soweit der Beschwerdeführer die Anstellung bzw. Beauftragung von Lauber und Pollace mit der Durchführung der Untersuchung bemängelt und vor- bringt, das Verfahren sei de facto an die ESTV delegiert worden, ist Folgen- des festzuhalten: Die sachliche Zuständigkeit der untersuchenden Verwal- tungsbehörde kann von den Parteien im Vorfahren grundsätzlich jederzeit in Frage gestellt werden. Die sachliche Zuständigkeit als eine der Prozessvo- raussetzungen kann auch als Vorfrage in den gerichtlichen Verfahren aufge- worfen werden (vgl. Art. 339 Abs. 2 und 3 StPO i.V.m. Art. 82 VStrR; HAURI/VENEZ, Basler Kommentar, 2. Aufl. 2014, Art. 339 StPO N. 8). Indes war der Beschwerdeführer in der vom Beschwerdegegner geführten Unter- suchung zum Zeitpunkt des Beschwerdeentscheids am 31. Mai 2022 nicht beteiligt. Der Umstand allein, dass der Beschwerdeführer in der vom Wirt- schaftsstrafgericht des Kantons Bern zurückgewiesenen Anklage als Be- schuldigter galt, vermochte kein schutzwürdiges Interesse an der Überprü- fung der Zuständigkeit von Lauber und Pollace zu begründen. Dies kann sich allenfalls ändern, sollte der Beschwerdeführer künftig in der von ihnen ge- führten Untersuchung als Beschuldigter teilnehmen. Diesfalls stünde dem Beschwerdeführer grundsätzlich das Recht zu, die Zuständigkeit der unter- suchenden Verfahrensleitern anzuzweifeln und gegebenenfalls zu beantra- gen, dass über sein Vorbringen, die Untersuchung werde faktisch von der ESTV und nicht vom Beschwerdegegner geführt, in einer anfechtbaren Ver- fügung befunden wird. Ausserdem könnte der Beschwerdeführer im Rahmen der Anfechtung einer ihn betreffenden Amts- bzw. Untersuchungshandlung die Unzuständigkeit der untersuchenden Beamten und die entsprechenden Folgen geltend machen. Mangels Parteistellung verneinte die Direktorin des Beschwerdegegners daher richtigerweise das Vorliegen eines Anfechtungs- objekts, zu dessen Anfechtung der Beschwerdeführer berechtigt gewesen wäre. Demzufolge ist der Beschwerdeentscheid vom 31. Mai 2022 nicht zu bemängeln. Bei diesem Ergebnis kann dahingestellt bleiben, ob die Be- schwerde vom 13. Mai 2022 fristgerecht erhoben wurde.</w:t>
      </w:r>
    </w:p>
    <w:p>
      <w:r>
        <w:rPr>
          <w:b/>
        </w:rPr>
        <w:t>E. 3.4</w:t>
      </w:r>
    </w:p>
    <w:p>
      <w:r>
        <w:t>Nach dem Gesagten erweist sich die vorliegende Beschwerde als vollum- fänglich unbegründet und ist abzuweisen.</w:t>
      </w:r>
    </w:p>
    <w:p>
      <w:r>
        <w:rPr>
          <w:b/>
        </w:rPr>
        <w:t>E. 4</w:t>
      </w:r>
    </w:p>
    <w:p>
      <w:r>
        <w:t>Mit dem Entscheid in der Sache wird das Gesuch BP.2022.45 um aufschie- bende Wirkung gegenstandslos.</w:t>
      </w:r>
    </w:p>
    <w:p>
      <w:r>
        <w:rPr>
          <w:b/>
        </w:rPr>
        <w:t>E. 5</w:t>
      </w:r>
    </w:p>
    <w:p>
      <w:r>
        <w:t>Bei diesem Ausgang des Verfahrens hat der Beschwerdeführer als unterlie- gende Partei die Gerichtskosten zu tragen (Art. 25 Abs. 4 VStrR i.V.m. Art. 66 Abs. 1 BGG analog, siehe dazu TPF 2011 25 E. 3). Die Gerichtsge- bühr ist auf Fr. 1'500.-- festzusetzen (vgl. Art. 5 und Art. 8 Abs. 1 des</w:t>
      </w:r>
    </w:p>
    <w:p>
      <w:r>
        <w:t>- 8 -</w:t>
      </w:r>
    </w:p>
    <w:p>
      <w:r>
        <w:t>Reglements des Bundesstrafgerichts vom 31. August 2010 über die Kosten, Gebühren und Entschädigungen in Bundesstrafverfahren [BStKR; SR 173.713.162]) und mit dem entsprechenden Betrag am geleisteten Kos- tenvorschuss von Fr. 2'000.-- zu verrechnen. Die Bundesstrafgerichtskasse ist anzuweisen, dem Beschwerdeführer den Kostenvorschuss in der Höhe von Fr. 500.-- zurückzuerstatten.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