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BV.2022.14 vom 4. Mai 2022</w:t>
      </w:r>
    </w:p>
    <w:p>
      <w:r>
        <w:t>Bundesstrafgericht, 2022-05-04, FR</w:t>
      </w:r>
    </w:p>
    <w:p>
      <w:r>
        <w:rPr>
          <w:b/>
        </w:rPr>
        <w:t xml:space="preserve">Quelle: </w:t>
      </w:r>
      <w:r>
        <w:t>https://mcp.opencaselaw.ch/entscheid/bstger_BV.2022.14</w:t>
      </w:r>
    </w:p>
    <w:p>
      <w:r>
        <w:t>FR: TPF BV.2022.14 du 4 mai 2022</w:t>
      </w:r>
    </w:p>
    <w:p>
      <w:r>
        <w:t>IT: TPF BV.2022.14 del 4 maggio 2022</w:t>
      </w:r>
    </w:p>
    <w:p>
      <w:pPr>
        <w:pStyle w:val="Heading2"/>
      </w:pPr>
      <w:r>
        <w:t>Regeste</w:t>
      </w:r>
    </w:p>
    <w:p>
      <w:r>
        <w:t>Plainte (art. 26 al. 1 DPA).</w:t>
      </w:r>
    </w:p>
    <w:p>
      <w:pPr>
        <w:pStyle w:val="Heading2"/>
      </w:pPr>
      <w:r>
        <w:t>Erwägungen</w:t>
      </w:r>
    </w:p>
    <w:p>
      <w:r>
        <w:rPr>
          <w:b/>
        </w:rPr>
        <w:t>E. 22</w:t>
      </w:r>
    </w:p>
    <w:p>
      <w:r>
        <w:t>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références citées); les mesures de contrainte au sens des art. 45 ss DPA ainsi que les actes et les omissions qui s’y rapportent peuvent faire l’objet d’une plainte devant la Cour des plaintes (art. 26 al. 1 DPA en lien avec l’art. 37 al. 2 let. b LOAP); dans les cas où la décision contestée n’émane pas du directeur de l’administration, la plainte lui est adressée; s'il n'entend pas y donner suite, il la transmet, avec ses observations, à la Cour de céans (art. 26 al. 2 et 3 DPA); la plainte, adressée à l’AFC le 15 mars 2022, contre un acte notifié au plaignant le 14 mars 2022 (act. 1.2), a été déposée en temps utile (art. 28 al. 3 DPA); l’AFC, qui n’y a pas donné suite, l’a transmise à la Cour de céans; vu la renonciation de l’AFC du 25 mars 2022 à mettre en œuvre la mesure entreprise (act. 5), la plainte est devenue sans objet; partant, la cause BV.2022.14 est rayée du rôle; il reste à statuer sur les frais de la cause et sur l’octroi de dépens; à teneur de l'art. 25 al. 4 DPA, les frais de la procédure de recours devant la Cour des plaintes se déterminent d'après l'art. 73 LOAP, loi qui ne règle cependant pas le sort des frais; conformément à la jurisprudence, il y a ainsi lieu d'appliquer, par analogie, les dispositions relatives à la loi du 17 juin 2005 sur le Tribunal fédéral (LTF;</w:t>
      </w:r>
    </w:p>
    <w:p>
      <w:r>
        <w:t>- 4 -</w:t>
      </w:r>
    </w:p>
    <w:p>
      <w:r>
        <w:t>RS 173.110; TPF 2011 25 consid. 3); selon l'art. 66 al. 1, 1ère phrase, LTF les frais judiciaires sont mis à la charge de la partie qui succombe; si les circonstances le justifient, le Tribunal fédéral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vu la renonciation par l’autorité à la mesure entreprise, il n'est pas perçu de frais; au surplus, seule la plainte a empêché, avant le 25 mars 2022, la mise en œuvre de l’acte envisagé et suspendu par l’AFC, lequel était, en soi, contraire au droit, vu la requête de levée de scellés sur les données concernées par la mesure entreprise déposée le 29 novembre 2021 pendante devant la Cour de céans, compétente en la matière (art. 25 al. 1 et 50 al. 3 DPA, ainsi que 37 al. 2 LOAP; ATF 139 IV 246 consid. 1.2); l'avance de frais de CHF 2'000.-- acquittée par le plaignant lui sera intégralement remboursée; le plaignant, qui n’a pas présenté de note d’honoraires détaillée, a conclu à ce qu’une indemnité, non inférieure à CHF 3'000.--, correspondant à 10 heures de travail au tarif horaire l’art. 12 al. 1 du règlement du Tribunal pénal fédéral du 31 août 2010 sur les frais, émoluments, dépens et indemnités de la procédure pénale fédérale (RFPPF; RS 173.713.162), soit mise à la charge de l’AFC (act. 7); à teneur de l'art. 68 al. 1 LTF, applicable par analogie, le tribunal décide, en statuant sur la contestation elle-même, si et dans quelle mesure les frais de la partie qui obtient gain de cause seront supportés par celle qui succombe; le plaignant, pourvu d'un avocat, a droit à une indemnité équitable pour les frais indispensables occasionnés par la procédure auprès de la Cour de céans; 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de CHF 230.-- par heure (art. 12 al. 1 RFPPF; décision du Tribunal pénal fédéral BH.2012.3 du 6 mars 2012 consid. 10.1 et référence citée); vu l'ampleur et la difficulté de la cause, et compte tenu des limites du RFPPF, une indemnité d'un montant de CHF 1’500.-- (TVA comprise), représentant 6 heures au</w:t>
      </w:r>
    </w:p>
    <w:p>
      <w:r>
        <w:t>- 5 -</w:t>
      </w:r>
    </w:p>
    <w:p>
      <w:r>
        <w:t>tarif horaire de CHF 230.--, auxquels s’ajoute la TVA (à 7,7%), paraît justifiée et sera mise à la charge de l’AFC.</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