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BV.2021.2 vom 2. Februar 2021</w:t>
      </w:r>
    </w:p>
    <w:p>
      <w:r>
        <w:t>Bundesstrafgericht, 2021-02-02, DE</w:t>
      </w:r>
    </w:p>
    <w:p>
      <w:r>
        <w:rPr>
          <w:b/>
        </w:rPr>
        <w:t xml:space="preserve">Quelle: </w:t>
      </w:r>
      <w:r>
        <w:t>https://mcp.opencaselaw.ch/entscheid/bstger_BV.2021.2</w:t>
      </w:r>
    </w:p>
    <w:p>
      <w:r>
        <w:t>FR: TPF BV.2021.2 du 2 février 2021</w:t>
      </w:r>
    </w:p>
    <w:p>
      <w:r>
        <w:t>IT: TPF BV.2021.2 del 2 febbraio 2021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März 1974 über das Verwaltungsstrafrecht (VStrR; SR 313.0) geführt wird;</w:t>
      </w:r>
    </w:p>
    <w:p>
      <w:r>
        <w:t>- gegen Zwangsmassnahmen im Sinne der Art. 45 ff. VStrR und damit zusam- menhängende Amtshandlungen bei der Beschwerdekammer des Bun- desstrafgerichts Beschwerde geführt werden kann (Art. 26 Abs. 1 VStrR i.V.m. Art. 37 Abs. 2 lit. b des Bundesgesetzes über die Organisation der Strafbehörden des Bundes vom 19. März 2010 [StBOG; SR 173.71]);</w:t>
      </w:r>
    </w:p>
    <w:p>
      <w:r>
        <w:t>- die Beschwerde innert drei Tagen, nachdem der Beschwerdeführer von der Amtshandlung Kenntnis erhalten hat, bei der zuständigen Behörde schriftlich mit Antrag und kurzer Begründung einzureichen ist (Art. 28 Abs. 3 VStrR); zur Beschwerde berechtigt ist, wer durch die angefochtene Amtshandlung berührt ist und ein schutzwürdiges Interesse an deren Aufhebung oder Än- derung hat (Art. 28 Abs. 1 VStrR);</w:t>
      </w:r>
    </w:p>
    <w:p>
      <w:r>
        <w:t>- 3 -</w:t>
      </w:r>
    </w:p>
    <w:p>
      <w:r>
        <w:t>- die Verfügung vom 23. Dezember 2020 an die Bank B. eröffnet wurde (act. 2.4, S. 2);</w:t>
      </w:r>
    </w:p>
    <w:p>
      <w:r>
        <w:t>- die Beschwerdegegnerin erklärt, dass die Verfügung vom 23. Dezember 2020 A. mit Schreiben vom 5. Januar 2021 zur Kenntnis gebracht worden sei (act. 2, S. 4);</w:t>
      </w:r>
    </w:p>
    <w:p>
      <w:r>
        <w:t>- Rechtsanwältin Hug erklärt, die Verfügung vom 23. Dezember 2020 am 8. Februar (recte: Januar) 2021 entgegengenommen zu haben (act. 1, S. 3), wobei die Beschwerde ein früheres Datum (7. Januar 2021) trägt;</w:t>
      </w:r>
    </w:p>
    <w:p>
      <w:r>
        <w:t>- die Beschwerdegegnerin erklärt, dass die Beschwerde vom 7. Januar 2021 bei ihr am 8. Januar 2021 eingegangen sei (act. 2, S. 2);</w:t>
      </w:r>
    </w:p>
    <w:p>
      <w:r>
        <w:t>- das Versanddatum des Schreibens der Beschwerdegegnerin vom 5. Januar 2021 an A. bzw. das Empfangsdatum der damit versandten Verfügung vom</w:t>
      </w:r>
    </w:p>
    <w:p>
      <w:r>
        <w:rPr>
          <w:b/>
        </w:rPr>
        <w:t>E. 23</w:t>
      </w:r>
    </w:p>
    <w:p>
      <w:r>
        <w:t>Dezember 2020 nicht aktenkundig sind; die Beschwerdegegnerin die Einhaltung der Beschwerdefrist jedoch nicht in Abrede stellt;</w:t>
      </w:r>
    </w:p>
    <w:p>
      <w:r>
        <w:t>- sich die formgerecht eingereichte Beschwerde vom 7. Januar 2021 bei Kenntnisnahme der verfügten Kontosperre durch A. am 5. Januar 2021 frist- gerecht erweisen würde;</w:t>
      </w:r>
    </w:p>
    <w:p>
      <w:r>
        <w:t>- da auf die vorliegende Beschwerde aus anderen Gründen nicht einzutreten ist, die Frage der Wahrung der Rechtsmittelfrist offengelassen werden kann;</w:t>
      </w:r>
    </w:p>
    <w:p>
      <w:r>
        <w:t>- Rechtsanwältin Hug in der Beschwerde vom 7. Januar 2021 A. als Be- schwerdeführer aufführt und die Anträge namens und im Auftrag ihres «Klienten» stellt (act. 1, S. 1 und 2);</w:t>
      </w:r>
    </w:p>
    <w:p>
      <w:r>
        <w:t>- die in der Beschwerde erwähnte und später nachgereichte (undatierte) Anwaltsvollmacht indessen auf die C. AG lautet (act. 5.1);</w:t>
      </w:r>
    </w:p>
    <w:p>
      <w:r>
        <w:t>- die Beschwerdegegnerin in der Stellungnahme vom 12. Januar 2021 zur am 7. Januar 2021 erhobenen Beschwerde ausführt, dass Rechtsanwältin Hug die C. AG im bereits rechtskräftig abgeschlossenen Verwaltungsmassnah- meverfahren vertreten habe; ob und inwiefern Rechtsanwältin Hug zur Ver- tretung von A. im Verwaltungsstrafverfahren legitimiert wäre, sich ihrer Kenntnis entziehe (act. 2, S. 2 und 3);</w:t>
      </w:r>
    </w:p>
    <w:p>
      <w:r>
        <w:t>- 4 -</w:t>
      </w:r>
    </w:p>
    <w:p>
      <w:r>
        <w:t>- eine Fristsetzung zur Nachreichung einer Vollmacht zur Vertretung des Be- schwerdeführers vorliegend unterbleiben kann, da auf die Beschwerde aus den nachgenannten Gründen nicht einzutreten ist;</w:t>
      </w:r>
    </w:p>
    <w:p>
      <w:r>
        <w:t>- die Verfügung vom 23. Dezember 2020 die Sperrung eines auf die C. AG lautendes Konto betrifft;</w:t>
      </w:r>
    </w:p>
    <w:p>
      <w:r>
        <w:t>- der Beschwerdeführer nicht Inhaber des Kontos Nr. 1 bei der Bank B. ist und daher von der Zwangsmassnahme nicht direkt betroffen bzw. nicht legitimiert ist, die Aufhebung der angeordneten Kontosperre zu verlangen (vgl. u.a. Be- schluss des Bundesstrafgerichts BB.2018.22 vom 13. August 2018);</w:t>
      </w:r>
    </w:p>
    <w:p>
      <w:r>
        <w:t>- auf die Beschwerde mangels Beschwerdelegitimation des Beschwerdefüh- rers nicht einzutreten ist;</w:t>
      </w:r>
    </w:p>
    <w:p>
      <w:r>
        <w:t>- bei diesem Ausgang des Verfahrens der Beschwerdeführer die Gerichtskos- ten zu tragen hat (Art. 25 Abs. 4 VStrR i.V.m. Art. 66 Abs. 1 BGG analog);</w:t>
      </w:r>
    </w:p>
    <w:p>
      <w:r>
        <w:t>- die Gerichtskosten auf Fr. 500.-- festzusetzen sind (vgl. Art. 25 Abs. 4 VStrR i.V.m. Art. 73 StBOG und Art. 5 und Art. 8 Abs. 1 BStKR), unter Anrechnung des entsprechenden Betrags am geleisteten Kostenvorschuss von Fr. 2‘000.--; die Bundesstrafgerichtskasse angewiesen wird, dem Beschwer- deführer Fr. 1‘500.-- zurückzuerstatten.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