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BV.2021.17 vom 2. September 2021</w:t>
      </w:r>
    </w:p>
    <w:p>
      <w:r>
        <w:t>Bundesstrafgericht, 2021-09-02, DE</w:t>
      </w:r>
    </w:p>
    <w:p>
      <w:r>
        <w:rPr>
          <w:b/>
        </w:rPr>
        <w:t xml:space="preserve">Quelle: </w:t>
      </w:r>
      <w:r>
        <w:t>https://mcp.opencaselaw.ch/entscheid/bstger_BV.2021.17</w:t>
      </w:r>
    </w:p>
    <w:p>
      <w:r>
        <w:t>FR: TPF BV.2021.17 du 2 septembre 2021</w:t>
      </w:r>
    </w:p>
    <w:p>
      <w:r>
        <w:t>IT: TPF BV.2021.17 del 2 settembre 2021</w:t>
      </w:r>
    </w:p>
    <w:p>
      <w:pPr>
        <w:pStyle w:val="Heading2"/>
      </w:pPr>
      <w:r>
        <w:t>Regeste</w:t>
      </w:r>
    </w:p>
    <w:p>
      <w:r>
        <w:t>Ausstand (Art. 29 Abs. 1 und 2 VStrR).</w:t>
      </w:r>
    </w:p>
    <w:p>
      <w:pPr>
        <w:pStyle w:val="Heading2"/>
      </w:pPr>
      <w:r>
        <w:t>Erwägungen</w:t>
      </w:r>
    </w:p>
    <w:p>
      <w:r>
        <w:rPr>
          <w:b/>
        </w:rPr>
        <w:t>E. 1.1</w:t>
      </w:r>
    </w:p>
    <w:p>
      <w:r>
        <w:t>Gemäss Art. 98 Abs. 2 des Bundesgesetzes vom 21. Dezember 1948 über die Luftfahrt (Luftfahrtgesetz, LFG; SR 748.0) werden Übertretungen im Sinne von Art. 91 nach den Verfahrensvorschriften des Bundesgesetzes vom 22. März 1974 über das Verwaltungsstrafrecht (VStrR; SR 313.0) durch das BAZL verfolgt und beurteilt.</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w:t>
      </w:r>
    </w:p>
    <w:p>
      <w:r>
        <w:t>- 6 -</w:t>
      </w:r>
    </w:p>
    <w:p>
      <w:r>
        <w:t>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 eine solchen Entscheid kann bei der Beschwerdekammer des Bundesstraf- gerichts Beschwerde geführt werden (Art. 29 Abs. 2 i.V.m. Art. 27 Abs. 3 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können (Art. 28 Abs. 2 VStrR), ist die Beschwerde gegen einen Entscheid nach Art. 29 Abs. 2 VStrR nur wegen Verletzung von Bundesrecht, einschliesslich Überschreitung oder Missbrauch des Ermessens, möglich (Art. 29 Abs. 2 i.V.m. Art. 27 Abs. 3 VStrR).</w:t>
      </w:r>
    </w:p>
    <w:p>
      <w:r>
        <w:rPr>
          <w:b/>
        </w:rPr>
        <w:t>E. 2.2</w:t>
      </w:r>
    </w:p>
    <w:p>
      <w:r>
        <w:t>Der Beschwerdeführer ist durch die angefochtene Verfügung als Beschul- digter im gegen ihn durch das BAZL geführten Verwaltungsstrafverfahren Nr. 53-8/5 sowohl in materieller wie auch in formeller Hinsicht beschwert und damit zur Beschwerdeführung legitimiert. Auf die im Übrigen frist- und form- gerecht erhobene Beschwerde ist daher einzutreten.</w:t>
      </w:r>
    </w:p>
    <w:p>
      <w:r>
        <w:rPr>
          <w:b/>
        </w:rPr>
        <w:t>E. 3.1</w:t>
      </w:r>
    </w:p>
    <w:p>
      <w:r>
        <w:t>Der Beschwerdeführer verlangt in prozessualer Hinsicht die Vereinigung der Verfahren BV.2021.6 und BB.2020.280-281 mit dem vorliegenden Be- schwerdeverfahren. Die Beschwerdeverfahren BV.2021.6 und BB.2020.280-281 sind inzwischen mit den Beschlüssen vom 11. und 24. Au- gust 2021 abgeschlossen (BB.2020.280-281, act. 20; BV.2021.6, act. 8). Der</w:t>
      </w:r>
    </w:p>
    <w:p>
      <w:r>
        <w:t>- 7 -</w:t>
      </w:r>
    </w:p>
    <w:p>
      <w:r>
        <w:t>Antrag des Beschwerdeführers auf Vereinigung des vorliegenden Verfah- rens mit diesen Beschwerdeverfahren erweist sich damit als gegenstands- los.</w:t>
      </w:r>
    </w:p>
    <w:p>
      <w:r>
        <w:rPr>
          <w:b/>
        </w:rPr>
        <w:t>E. 3.2</w:t>
      </w:r>
    </w:p>
    <w:p>
      <w:r>
        <w:t>Die Akten des Bundesstrafgerichts der Beschwerdeverfahren BV.2021.1, BV.2021.6 und BB.2020.280-281 wurden von Amtes wegen beigezogen (act. 7).</w:t>
      </w:r>
    </w:p>
    <w:p>
      <w:r>
        <w:rPr>
          <w:b/>
        </w:rPr>
        <w:t>E. 4.1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4.2</w:t>
      </w:r>
    </w:p>
    <w:p>
      <w:r>
        <w:t>Der Zweck der Ausstandspflicht besteht darin, jeden Anschein der Befan- genheit oder Interessenkollision zu vermeiden. Hinsichtlich der Verwaltung in ihrer Funktion als Untersuchungsbehörde, Anklagebehörde und urteilende Behörde ist zur Beurteilung des Ausstandsgrundes nach Art. 29 Abs. 1 lit. c VStrR die zum in Art. 29 Abs. 1 BV und Art. 6 Ziff. 1 EMRK ergangene Recht- sprechung zum verankerten Anspruch jeder Person auf ein faires Verfahren heranzuziehen. Gerade wegen der Machtfülle der Verwaltung sind bei der Beurteilung der Frage der Befangenheit von untersuchenden Beamten die gleichen (strengen) Massstäbe anzuwenden wie gegenüber den Strafverfol- gungsbehörden (BGE 120 IV 266 E. 4b). Eine Verletzung der Garantie auf ein faires Verfahren und somit Befangenheit sind anzunehmen, wenn Um- stände vorliegen, die geeignet sind, Misstrauen in die Unparteilichkeit zu er- wecken. Solche Umstände können entweder in einem bestimmten persönli- chen Verhalten oder in gewissen funktionellen und organisatorischen Gege- benheiten begründet sein. In beiden Fällen wird aber nicht verlangt, dass der Handelnde deswegen tatsächlich befangen ist. Es genügt, wenn Umstände gegeben sind, die den Anschein der Befangenheit und die Gefahr der Vor- eingenommenheit zu begründen vermögen. Bei der Beurteilung des An- scheins der Befangenheit und der Gewichtung solcher Umstände kann je- doch nicht auf das subjektive Empfinden einer Partei abgestellt werden; das Misstrauen muss vielmehr in objektiver Weise als begründet erscheinen. An- gesichts der Bedeutung der Unparteilichkeit lässt sich jedoch eine einschrän- kende Auslegung und Anwendung dieses Grundsatzes nicht vertreten, auch</w:t>
      </w:r>
    </w:p>
    <w:p>
      <w:r>
        <w:t>- 8 -</w:t>
      </w:r>
    </w:p>
    <w:p>
      <w:r>
        <w:t>wenn der Ausstand die Ausnahme bleiben muss (HAURI, Verwaltungsstraf- recht, 1998, S. 86 mit Hinweis auf BGE 120 IV 226 E. 4b S. 236 ff.; vgl. auch MÜLLER/SCHEFER, Grundrechte in der Schweiz, 4. Aufl. 2008, S. 937 f.; KIE- NER, Richterliche Unabhängigkeit: verfassungsrechtliche Anforderungen an Richter und Gerichte, 2001, S. 58 ff.; KONOPATSCH/EHMANN, Basler Kom- mentar, 2020, Art. 29 VStrR N. 33 f.; BGE 127 I 196 E. 2b S. 198 f. und E. 2d S. 199 f.; TPF 2009 84 E. 2.2; Beschluss des Bundesstrafgerichts BV.2019.2 vom 15. April 2019 E. 3.2). Materielle oder prozessuale Fehler stellen nur dann einen Ausstandsgrund dar, wenn sie besonders krass oder wiederholt auftreten, sodass sie einer schweren Verletzung der Amtspflichten gleich- kommen (BGE 141 IV 178 E. 3.2.3; KONOPATSCH/EHMANN, a.a.O., Art. 29 VStrR N. 19, 29, 85 ff. m.w.H.).</w:t>
      </w:r>
    </w:p>
    <w:p>
      <w:r>
        <w:rPr>
          <w:b/>
        </w:rPr>
        <w:t>E. 4.3.1</w:t>
      </w:r>
    </w:p>
    <w:p>
      <w:r>
        <w:t>Mit der an F. als [...] des BAZL gerichteten Beschwerde vom 1. März 2021 monierte der Beschwerdeführer die Weigerung des BAZL, diverse Akten in das gegen ihn geführte Verwaltungsstrafverfahren Nr. 53-8/5 aufzunehmen und beantragte, ihm sei Einsicht in zusätzliche Akten und Statistiken zu ge- währen sowie das Verfahren zu sistieren. Zugleich verlangte der Beschwer- deführer, dass sowohl F. als auch G. als dessen Stellvertreter in den Aus- stand zu treten haben. Den Ausstandsantrag begründet der Beschwerdefüh- rer im Wesentlichen damit, dass F. als [...] des BAZL direkt oder indirekt in mehrere hängige Gerichtsverfahren betreffend den Fallkomplex «Z.» invol- viert sei. Zudem habe die C. AG am 16. September 2020 eine ähnliche Be- schwerde eingereicht und darin ebenfalls den Ausstand von F. und G. ver- langt (act. 1.2).</w:t>
      </w:r>
    </w:p>
    <w:p>
      <w:r>
        <w:rPr>
          <w:b/>
        </w:rPr>
        <w:t>E. 4.3.2</w:t>
      </w:r>
    </w:p>
    <w:p>
      <w:r>
        <w:t>Die Ausführungen des Beschwerdeführers im Schreiben 1. März 2021 sind dahingehend zu verstehen, als er gegenüber F. und G. Ausstandsgründe nach Art. 29 Abs. 1 lit. c VStrR geltend macht. Andere Ausstandsgründe ge- hen weder aus den Ausführungen des Beschwerdeführers noch den dem Gericht eingereichten Unterlagen hervor. Der Beschwerdeführer beruft sich lediglich in allgemeiner Weise auf den Ausstandsgrund von Art. 29 Abs. 1 lit. c VStrR und unterlässt es, diesen näher zu begründen. Mit den Ausfüh- rungen im Schreiben vom 1. März 2021 und dem Verweis auf die bisherigen Gerichtsverfahren betreffend den Fallkomplex «Z.» resp. «Heliport Z.», die in keinem Zusammenhang zum gegen den Beschwerdeführer geführten Ver- waltungsstrafverfahren Nr. 53-8/5 stehen, vermag der Beschwerdeführer einen Ausstandsgrund gegenüber F. und G. nicht glaubhaft zu machen. Wie in der hier angefochtenen Verfügung richtigerweise festgehalten wurde, ge- nügt der pauschale Verweis auf andere teilweise noch hängige und teilweise bereits abgeschlossene Verfahren im Zusammenhang mit dem Heliport Z., in welche ausserdem diverse Parteien involviert sind, der dem Beschwerde-</w:t>
      </w:r>
    </w:p>
    <w:p>
      <w:r>
        <w:t>- 9 -</w:t>
      </w:r>
    </w:p>
    <w:p>
      <w:r>
        <w:t>führer obliegenden Substantiierungspflicht nicht. Die an den [...] des BAZL gerichtete Beschwerde vom 1. März 2021 und die darin gerügten Untersu- chungshandlungen des untersuchenden Beamten sind angesichts des vor- liegenden Beschwerdegegenstandes nicht zu beurteilen. Dementsprechend ist auf die diesbezüglichen Ausführungen des Beschwerdeführers nicht ein- zugehen.</w:t>
      </w:r>
    </w:p>
    <w:p>
      <w:r>
        <w:rPr>
          <w:b/>
        </w:rPr>
        <w:t>E. 4.3.3</w:t>
      </w:r>
    </w:p>
    <w:p>
      <w:r>
        <w:t>Ebensowenig vermag der Verweis des Beschwerdeführers auf das von der C. AG am 16. September 2020 eingeleitete Ausstandsverfahren einen Aus- standsgrund im gegen den Beschwerdeführer geführten Verwaltungsstraf- verfahren Nr. 53-8/5 gegenüber F. und G. zu begründen. Das Ausstandsge- such vom 16. September 2020 wurde von der C. AG und nicht im gegen den Beschwerdeführer geführten Verwaltungsstrafverfahren eingereicht. Hinzu kommt, dass das UVEK mit Verfügung vom 23. Dezember 2020 auf das Aus- standsbegehren gegenüber G. nicht eintrat und dasjenige gegen F. abwies. Auf die dagegen erhobene Beschwerde der C. AG trat das Bundesstrafge- richt mit Beschluss BV.2021.1 vom 1. Februar 2021 nicht ein (BV.2021.1, act. 6).</w:t>
      </w:r>
    </w:p>
    <w:p>
      <w:r>
        <w:rPr>
          <w:b/>
        </w:rPr>
        <w:t>E. 4.3.4</w:t>
      </w:r>
    </w:p>
    <w:p>
      <w:r>
        <w:t>Dass weder G. noch F. gegenüber der B. AG oder ihren Verantwortlichen eine Vernichtungsstrategie geführt haben und damit auch dem [...] des UVEK nichts vorzuwerfen war, wurde im Beschluss BB.2020.280-281 vom 11. Au- gust 2021 festgestellt, worauf verwiesen werden kann. Demgemäss braucht auf die diesbezüglichen Ausführungen des Beschwerdeführers an dieser Stelle nicht erneut eingegangen zu werden.</w:t>
      </w:r>
    </w:p>
    <w:p>
      <w:r>
        <w:rPr>
          <w:b/>
        </w:rPr>
        <w:t>E. 4.3.5</w:t>
      </w:r>
    </w:p>
    <w:p>
      <w:r>
        <w:t>Aus dem Gesagten folgt, dass der Beschwerdeführer weder im Ausstands- gesuch vom 1. März 2020 noch im vorliegenden Beschwerdeverfahren ob- jektive Gründe glaubhaft darzulegen vermochte, die geeignet wären, Miss- trauen in die Unparteilichkeit und damit einen Anschein der Befangenheit von F. oder G. zu erwecken. Bei diesem Ergebnis kann dahingestellt bleiben, ob der Beschwerdegegner nach der inhaltlichen Prüfung der vom Beschwer- deführer am 1. März 2021 gemachten Ausführungen auf das Ausstandsge- such gegen F. oder G. hätte eintreten und dieses abweisen sollen.</w:t>
      </w:r>
    </w:p>
    <w:p>
      <w:r>
        <w:rPr>
          <w:b/>
        </w:rPr>
        <w:t>E. 4.4</w:t>
      </w:r>
    </w:p>
    <w:p>
      <w:r>
        <w:t>Nach dem Gesagten erweist sich die Beschwerde als vollumfänglich unbe- gründet.</w:t>
      </w:r>
    </w:p>
    <w:p>
      <w:r>
        <w:rPr>
          <w:b/>
        </w:rPr>
        <w:t>E. 5</w:t>
      </w:r>
    </w:p>
    <w:p>
      <w:r>
        <w:t>Die Beschwerde ist abzuweisen.</w:t>
      </w:r>
    </w:p>
    <w:p>
      <w:r>
        <w:rPr>
          <w:b/>
        </w:rPr>
        <w:t>E. 6</w:t>
      </w:r>
    </w:p>
    <w:p>
      <w:r>
        <w:t>Bei diesem Ausgang des Verfahrens hat der Beschwerdeführer als unterlie- gende Partei die Gerichtskosten zu tragen (Art. 25 Abs. 4 VStrR i.V.m.</w:t>
      </w:r>
    </w:p>
    <w:p>
      <w:r>
        <w:t>- 10 -</w:t>
      </w:r>
    </w:p>
    <w:p>
      <w:r>
        <w:t>Art. 66 Abs. 1 BGG analog, siehe dazu TPF 2011 25 E. 3). Die Gerichtsge- bühr ist auf Fr. 2'000.-- festzusetzen, unter Anrechnung des vom Beschwer- deführer geleisteten Kostenvorschusses in gleicher Höhe (vgl. Art. 5 und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