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BV.2021.14 vom 8. April 2021</w:t>
      </w:r>
    </w:p>
    <w:p>
      <w:r>
        <w:t>Bundesstrafgericht, 2021-04-08, DE</w:t>
      </w:r>
    </w:p>
    <w:p>
      <w:r>
        <w:rPr>
          <w:b/>
        </w:rPr>
        <w:t xml:space="preserve">Quelle: </w:t>
      </w:r>
      <w:r>
        <w:t>https://mcp.opencaselaw.ch/entscheid/bstger_BV.2021.14</w:t>
      </w:r>
    </w:p>
    <w:p>
      <w:r>
        <w:t>FR: TPF BV.2021.14 du 8 avril 2021</w:t>
      </w:r>
    </w:p>
    <w:p>
      <w:r>
        <w:t>IT: TPF BV.2021.14 del 8 aprile 2021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die Beschwerde mit Schreiben vom 7. April 2021 zurückgezogen wurde, ist das Beschwerdeverfahren entsprechend von der Geschäftskon- trolle abzuschreiben.</w:t>
      </w:r>
    </w:p>
    <w:p>
      <w:r>
        <w:rPr>
          <w:b/>
        </w:rPr>
        <w:t>E. 2</w:t>
      </w:r>
    </w:p>
    <w:p>
      <w:r>
        <w:t>Bei diesem Ausgang des Verfahrens hat der Beschwerdeführer die Gerichts- kosten zu tragen (vgl. Art. 25 Abs. 4 VStrR). Die Gerichtsgebühr ist auf das gesetzliche Minimum von Fr. 200.-- festzusetzen (vgl. Art. 73 StBOG i.V.m. Art. 5 und 8 Abs. 1 des Reglements des Bundesstrafgerichts vom 31. August 2010 über die Kosten, Gebühren und Entschädigungen in Bundesstrafver- fahren; BStKR; SR 173.713.162) und dem Beschwerdeführer aufzuerlegen.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