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BV.2021.11 vom 12. Mai 2021</w:t>
      </w:r>
    </w:p>
    <w:p>
      <w:r>
        <w:t>Bundesstrafgericht, 2021-05-12, DE</w:t>
      </w:r>
    </w:p>
    <w:p>
      <w:r>
        <w:rPr>
          <w:b/>
        </w:rPr>
        <w:t xml:space="preserve">Quelle: </w:t>
      </w:r>
      <w:r>
        <w:t>https://mcp.opencaselaw.ch/entscheid/bstger_BV.2021.11</w:t>
      </w:r>
    </w:p>
    <w:p>
      <w:r>
        <w:t>FR: TPF BV.2021.11 du 12 mai 2021</w:t>
      </w:r>
    </w:p>
    <w:p>
      <w:r>
        <w:t>IT: TPF BV.2021.11 del 12 maggio 2021</w:t>
      </w:r>
    </w:p>
    <w:p>
      <w:pPr>
        <w:pStyle w:val="Heading2"/>
      </w:pPr>
      <w:r>
        <w:t>Regeste</w:t>
      </w:r>
    </w:p>
    <w:p>
      <w:r>
        <w:t>Beschlagnahme (Art. 46 f. VStrR). Unentgeltliche Rechtspflege im Beschwerdeverfahren (Art. 29 Abs. 3 BV).</w:t>
      </w:r>
    </w:p>
    <w:p>
      <w:pPr>
        <w:pStyle w:val="Heading2"/>
      </w:pPr>
      <w:r>
        <w:t>Erwägungen</w:t>
      </w:r>
    </w:p>
    <w:p>
      <w:r>
        <w:rPr>
          <w:b/>
        </w:rPr>
        <w:t>E. 1.1</w:t>
      </w:r>
    </w:p>
    <w:p>
      <w:r>
        <w:t>Am 1. Januar 2019 ist das Geldspielgesetz in Kraft getreten. Nach Art. 134 Abs. 1 BGS ist bei Widerhandlungen im Zusammenhang mit Spielbanken- spielen das VStrR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w:t>
      </w:r>
    </w:p>
    <w:p>
      <w:r>
        <w:t>- 4 -</w:t>
      </w:r>
    </w:p>
    <w:p>
      <w:r>
        <w:t>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Zur Beschwerde ist berechtigt, wer durch den Beschwerdeentscheid berührt ist und ein schutzwürdiges Interesse an dessen Aufhebung oder Änderung hat (Art. 28 Abs. 1 VStrR). Die Beschwerde ist innert dreier Tage nachdem der Beschwerdeführer von der Amtshandlung Kenntnis hat bei der zuständi- gen Behörde schriftlich, mit Antrag und kurzer Begründung, einzureichen (Art. 28 Abs. 3 VStrR). Die Beschwerde gegen Zwangsmassnahmen der Un- tersuchungsbeamten ist beim Chef der entsprechenden Verwaltungseinheit einzureichen (vgl. Art. 26 Abs. 2 lit. b VStrR). Berichtigt der Chef der betei- ligten Verwaltung die Amtshandlung oder Säumnis im Sinne der gestellten Anträge, so fällt die Beschwerde dahin; andernfalls hat er sie mit seiner Äusserung spätestens am dritten Werktag nach ihrem Eingang an die Be- schwerdekammer weiterzuleiten (Art. 26 Abs. 3 VStrR).</w:t>
      </w:r>
    </w:p>
    <w:p>
      <w:r>
        <w:rPr>
          <w:b/>
        </w:rPr>
        <w:t>E. 2.2</w:t>
      </w:r>
    </w:p>
    <w:p>
      <w:r>
        <w:t>Die Durchsuchung fand in den Wohnräumlichkeiten der Beschwerdeführerin statt, welche von ihr gemietet resp. ihr von ihrem Sohn untervermietet wer- den (act. 2.10, S. 6 f.). Demgemäss ist anzunehmen, dass die Beschwerde- führerin die Eigentümerin bzw. Besitzerin des anlässlich der Hausdurchsu- chung sichergestellten Bargeldes ist. In der Beschwerde bestätigt die Be- schwerdeführerin Besitzerin des Geldes zu sein und führt aus, das konfis- zierte Bargeld von ihren Söhnen als Notreserve für ihre Verwandte in Thai- land erhalten zu haben (act. 1). Damit sind allfällige Drittansprüche an den Vermögenswerten auszuschliessen. Als alleinige Inhaberin der beschlag- nahmten Vermögenswerte ist die Beschwerdeführerin zur Erhebung der vor- liegenden Beschwerde befugt. Auf die im Übrigen form- und fristgerecht er- hobene Beschwerde ist somit einzutreten.</w:t>
      </w:r>
    </w:p>
    <w:p>
      <w:r>
        <w:t>- 5 -</w:t>
      </w:r>
    </w:p>
    <w:p>
      <w:r>
        <w:rPr>
          <w:b/>
        </w:rPr>
        <w:t>E. 2.3</w:t>
      </w:r>
    </w:p>
    <w:p>
      <w:r>
        <w:t>Die Beschwerdeführerin moniert die dreitägige Beschwerdefrist und ersucht um Gewährung einer angemessenen Beschwerdefrist. Die Beschwerdefrist gemäss Art. 28 Abs. 3 VStrR ist eine gesetzliche Frist und als solche ist sie nicht erstreckbar (BGE 110 IV 112 E. 1; vgl. auch Art. 89 Abs. 1 StPO). Aus diesem Grund ist der Antrag der Beschwerdeführerin auf Gewährung einer angemessenen Beschwerdefrist abzuweisen. Ausserdem enthält die Be- schwerde Anträge und eine knappe, jedoch ausreichende Begründung. Überdies hat sich die Beschwerdeführerin im Rahmen der Replikschrift zur Stellungnahme des Direktors der Beschwerdegegnerin ausführlich geäus- sert und ihre Rügen näher begründet (act. 4).</w:t>
      </w:r>
    </w:p>
    <w:p>
      <w:r>
        <w:rPr>
          <w:b/>
        </w:rPr>
        <w:t>E. 2.4</w:t>
      </w:r>
    </w:p>
    <w:p>
      <w:r>
        <w:t>Die Beschwerde vom 23. Januar 2021 und die Stellungnahme des Direktors der Beschwerdegegnerin wurde der Beschwerdekammer erst am 15. Feb- ruar 2021 weitergeleitet. Somit wurde die in Art. 26 Abs. 3 VStrR vorge- schriebene Frist nicht eingehalten. Eine Erklärung für die verspätete Weiter- leitung ist der Stellungnahme des Direktors der Beschwerdegegnerin nicht zu entnehmen (act. 2). Auch wenn es sich bei der in Art. 26 Abs. 3 VStrR vorgesehenen Weiterleitungsfrist um eine Ordnungsfrist handelt, deren Ver- letzung ohne Rechtswirkung bleibt (Urteil des Bundesgerichts 1B_63/2009 vom 1. September 2009 E. 2.3), ist die Beschwerdegegnerin darauf hinzu- weisen, dass sie auch Ordnungsvorschriften zu beachten und einzuhalten hat (s.a. Beschluss des Bundesstrafgerichts BV.2019.29 vom 12. September 2019). Angesicht der dreitägigen Beschwerdefrist gemäss Art. 28 Abs. 3 VStrR, welche die beschwerdeführenden Parteien zu beachten haben, liegt die Einhaltung der vom Gesetzgeber vorgesehenen Weiterleitungsfrist auch im Sinne der Verfahrensfairness.</w:t>
      </w:r>
    </w:p>
    <w:p>
      <w:r>
        <w:rPr>
          <w:b/>
        </w:rPr>
        <w:t>E. 2.5</w:t>
      </w:r>
    </w:p>
    <w:p>
      <w:r>
        <w:t>Nach dem Gesagten ist auf die Beschwerde einzutreten.</w:t>
      </w:r>
    </w:p>
    <w:p>
      <w:r>
        <w:rPr>
          <w:b/>
        </w:rPr>
        <w:t>E. 3.1</w:t>
      </w:r>
    </w:p>
    <w:p>
      <w:r>
        <w:t>Die Beschwerdegegnerin begründete die Beschlagnahme der Vermögens- werte von CHF 8'660.-- und EUR 1'010.-- dahingehend, dass es sich bei die- sen Vermögenswerten der Beschwerdeführerin um Erträge aus nicht bewil- ligten Spielbankenspielen handeln könnte, die im Hinblick auf eine spätere Einziehung zu beschlagnahmen seien (act. 1.2).</w:t>
      </w:r>
    </w:p>
    <w:p>
      <w:r>
        <w:rPr>
          <w:b/>
        </w:rPr>
        <w:t>E. 3.2</w:t>
      </w:r>
    </w:p>
    <w:p>
      <w:r>
        <w:t>Die Beschwerdeführerin bestreitet sinngemäss das Vorliegen des hinrei- chenden Tatverdachts und bringt vor, sie habe kein Bankkonto, weshalb ihr ihre Söhne die beschlagnahmten Vermögenswerte als Notreserve für die</w:t>
      </w:r>
    </w:p>
    <w:p>
      <w:r>
        <w:t>- 6 -</w:t>
      </w:r>
    </w:p>
    <w:p>
      <w:r>
        <w:t>Verwandte in Thailand übergeben hätten. Sie sei halbseitig gelähmt, auf ei- nen Rollstuhl angewiesen und körperlich nicht in der Lage, die ihr vorgewor- fenen Aktivitäten auszuführen (act. 1).</w:t>
      </w:r>
    </w:p>
    <w:p>
      <w:r>
        <w:t>Nachfolgend ist zu prüfen, ob die angeordnete Beschlagnahme vor dem Bundesrecht standhält.</w:t>
      </w:r>
    </w:p>
    <w:p>
      <w:r>
        <w:rPr>
          <w:b/>
        </w:rPr>
        <w:t>E. 4.1</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Zuwendungen (Art. 46 Abs. 1 VStrR). Die Beschlagnahme nach Art. 46 Abs. 1 lit. b VStrR stellt eine provisorische prozessuale Massnahme zur vorläufigen Sicherstel- lung der allenfalls der Einziehung unterliegenden Vermögenswerte dar und greift dem Entscheid über die endgültige Einziehung nicht vor (BGE 120 IV 365 E. 1c).</w:t>
      </w:r>
    </w:p>
    <w:p>
      <w:r>
        <w:rPr>
          <w:b/>
        </w:rPr>
        <w:t>E. 4.2</w:t>
      </w:r>
    </w:p>
    <w:p>
      <w:r>
        <w:t>Als strafprozessuale Zwangsmassnahme setzt die Beschlagnahme im Ver- waltungsstrafverfahren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 den bereits als offensichtlich unzulässig erscheint (Beschluss des Bun- desstrafgerichts BV.2017.5 vom 20. April 2017 E. 5.1). Der hinreichende Ver- dacht setzt – in Abgrenzung zum dringenden – nicht voraus, dass Beweise und Indizien bereits für eine erhebliche oder hohe Wahrscheinlichkeit einer Verurteilung sprechen. Bei der Beurteilung der Rechtmässigkeit und Ange- messenheit einer Beschlagnahme hat die Beschwerdekammer diesbezüg- lich jedoch keine erschöpfende Abwägung sämtlicher belastender und ent- lastender Beweisergebnisse vorzunehmen. Diese bleibt dem für die Fällung des materiell-rechtlichen Einziehungsentscheides zuständigen Sachgericht vorbehalten (TPF 2010 22 E. 2.2.2; vgl. zum Ganzen Beschluss des Bun- desstrafgerichts BV.2013.1 vom 26. April 2013 E. 4.1; je m.w.H.).</w:t>
      </w:r>
    </w:p>
    <w:p>
      <w:r>
        <w:rPr>
          <w:b/>
        </w:rPr>
        <w:t>E. 4.3</w:t>
      </w:r>
    </w:p>
    <w:p>
      <w:r>
        <w:t>Gemäss Art. 130 Abs. 1 BGS wird mit bis zu drei Jahren Freiheitsstrafe oder mit Geldstrafe bestraft, wer vorsätzlich ohne die dafür nötigen Konzes- sionen oder Bewilligungen Spielbankenspiele durchführt, organisiert oder zur Verfügung stellt (lit. a). Spielbankenspiele sind Geldspiele, die einer eng</w:t>
      </w:r>
    </w:p>
    <w:p>
      <w:r>
        <w:t>- 7 -</w:t>
      </w:r>
    </w:p>
    <w:p>
      <w:r>
        <w:t>begrenzten Anzahl Personen offenstehen; ausgenommen sind die Sportwet- ten, die Geschicklichkeitsspiele und die Kleinspiele (Art. 3 lit. g BGS).</w:t>
      </w:r>
    </w:p>
    <w:p>
      <w:r>
        <w:rPr>
          <w:b/>
        </w:rPr>
        <w:t>E. 4.4.1</w:t>
      </w:r>
    </w:p>
    <w:p>
      <w:r>
        <w:t>Die Beschwerdeführerin gab anlässlich der polizeilichen Einvernahme vom</w:t>
      </w:r>
    </w:p>
    <w:p>
      <w:r>
        <w:rPr>
          <w:b/>
        </w:rPr>
        <w:t>E. 4.4.2</w:t>
      </w:r>
    </w:p>
    <w:p>
      <w:r>
        <w:t>Die im Verwaltungsverfahren Mitbeschuldigte D. gab anlässlich der Einver- nahme vom 4. Juli 2019 an, am in der Wohnung der Beschwerdeführerin sichergestellten Automaten sporadisch und mit Einsätzen zu Fr. 0.50 ge- spielt zu haben. Sie habe auch schon gewonnen und der Gewinn sei ihr von der Beschwerdeführerin ausbezahlt worden. Ferner gab D. an, dass C. ihr zwei Spielautomaten besorgt habe. Den Schlüssel zu diesen Geräten habe nur C. gehabt und er sei es gewesen, der die Kassen der Geräte geleert habe. Wenn jemand auf den Spielautomaten gewonnen habe, habe sie C. gerufen und er sei vorbeigekommen. Ab und zu habe sie von C. ein «Trink- geld» im Umfang von zwischen Fr. 50.-- und Fr. 100.-- erhalten. Schliesslich bestätigte D. ihre am 23. April 2019 gemachte Aussage, wonach nebst wei- teren Personen auch die Beschwerdeführerin von C. mit solchen Spielauto- maten beliefert worden sei (act. 2.11, S. 6 ff.).</w:t>
      </w:r>
    </w:p>
    <w:p>
      <w:r>
        <w:rPr>
          <w:b/>
        </w:rPr>
        <w:t>E. 4.4.3</w:t>
      </w:r>
    </w:p>
    <w:p>
      <w:r>
        <w:t>Anlässlich der von der Beschwerdegegnerin am 31. Oktober 2019 durchführ- ten Konfrontationseinvernahme gab die Beschwerdeführerin an, sich an die polizeiliche Einvernahme vom 9. Mai 2019 nicht mehr erinnern zu können. Entgegen ihrer ersten Aussage gab sie an, dass der in ihrer Wohnung si- chergestellte Spielautomat von ihrem Sohn gekauft worden sei, damit sie zuhause spielen könne. Ihr Sohn habe ihr sogar zwei Automaten gekauft. An den Geräten habe nur sie gespielt und das eingesetzte Geld habe sie aus</w:t>
      </w:r>
    </w:p>
    <w:p>
      <w:r>
        <w:t>- 8 -</w:t>
      </w:r>
    </w:p>
    <w:p>
      <w:r>
        <w:t>der Kasse des Automaten entnommen und immer wieder mit den gleichen Einsätzen gespielt. Sie habe die Schlüssel des Automaten besessen und habe dessen Leerung selber vorgenommen. Die Polizei habe alle Schlüssel mitgenommen. Sie wisse, dass das Spielen von Glückspiele resp. an Spiel- bankenspielen gesetzeswidrig sei, sie sei jedoch spielsüchtig. Die von D. ge- machte Aussage, wonach sie bei ihr gespielt habe, stritt die Beschwerdefüh- rerin ab (act. 2.10, S. 2 ff.).</w:t>
      </w:r>
    </w:p>
    <w:p>
      <w:r>
        <w:rPr>
          <w:b/>
        </w:rPr>
        <w:t>E. 4.5.1</w:t>
      </w:r>
    </w:p>
    <w:p>
      <w:r>
        <w:t>Wie im nachfolgenden aufzuzeigen sein wird, kann zum aktuellen Zeitpunkt nicht ausgeschlossen werden, dass es sich beim sichergestellten Bargeld um Spielerlös handeln könnte.</w:t>
      </w:r>
    </w:p>
    <w:p>
      <w:r>
        <w:rPr>
          <w:b/>
        </w:rPr>
        <w:t>E. 4.5.2</w:t>
      </w:r>
    </w:p>
    <w:p>
      <w:r>
        <w:t>Am 9. Mai 2019 erklärte die Beschwerdeführerin, neben ihr hätten auch Kun- den von ihr am sichergestellten Spielautomaten gespielt. Zudem gab sie an, dass C. in regelmässigen Abständen bei ihr vorbeigekommen sei, um den Kasseninhalt zu leeren. Ferner gestand sie ein, dass C. sie am Spielerlös beteiligt habe. Hätte am Gerät nur die Beschwerdeführerin gespielt, wie sie gegenüber der Beschwerdegegnerin angab, ist nicht ersichtlich, weshalb die Beschwerdeführerin vom mutmasslichen Aufsteller des Gerätes einen Teil des Einsatzes zurückerhalten sollte. Eine Erklärung hierfür lässt sich weder der Beschwerde noch den dem Gericht eingereichten Verfahrensakten ent- nehmen. Die am 9. Mai 2019 gemachte Aussage der Beschwerdeführerin, wonach C. ihr den Spielautomaten besorgt habe, entspricht auch der Aussage von D., die angab, dass C. sowohl ihr als auch der Beschwerdeführerin Spielauto- maten besorgt habe (supra E. 4.4.2). Gemäss D. habe C. den Kasseninhalt der Geräte geleert. Das deckt sich insoweit mit dem Ergebnis der Haus- durchsuchung vom 9. Mai 2019, als dass bei der Beschwerdeführerin kein Schlüssel zur Öffnung der Geldkassette des sichergestellten Automaten vor- gefunden wurde (act. 2.3, S. 3; act. 2.6) Dieser Umstand deutet darauf hin, dass sich dieser Schlüssel im Besitze einer dritten Person befand. Der aktu- elle Verfahrensstand begründet somit den hinreichenden Verdacht, dass in den Räumlichkeiten der Beschwerdeführerin in Basel Spielbankenspiele organisiert, durchgeführt oder zur Verfügung gestellt worden sind, ohne dass die dafür notwendige Konzession vorlag (Art. 130 Abs. 1 lit. a BGS). Der Umstand, dass die Beschwerdeführerin anlässlich der Konfrontations- einvernahme eine neue Version schilderte, lässt die erste nicht automatisch als unplausibel erscheien. Die körperliche Behinderung der Beschwerde- führerin schliesst eine Benutzung eines Spielautomaten durch Dritte nicht aus.</w:t>
      </w:r>
    </w:p>
    <w:p>
      <w:r>
        <w:t>- 9 -</w:t>
      </w:r>
    </w:p>
    <w:p>
      <w:r>
        <w:rPr>
          <w:b/>
        </w:rPr>
        <w:t>E. 4.6</w:t>
      </w:r>
    </w:p>
    <w:p>
      <w:r>
        <w:t>Die Beschwerdeführerin bezieht eine IV-Rente, weitere Einnahmequellen sind nicht bekannt. Belege für die Herkunft der bei ihr sichergetellten Bargelder (CHF 8‘660.-- und EUR 1‘010.--) sind nicht aktenkundig. Die Beschwerdeführerin hat angegeben, dass sich der Spielautomat seit ein oder zwei Jahren bei ihr befunden habe. Der beschlagnahmnte Betrag ist in Bezug auf den potentiellen Gewinn in der genannten Zeitspanne verhältnismässig.</w:t>
      </w:r>
    </w:p>
    <w:p>
      <w:r>
        <w:rPr>
          <w:b/>
        </w:rPr>
        <w:t>E. 4.7</w:t>
      </w:r>
    </w:p>
    <w:p>
      <w:r>
        <w:t>Zusammenfassend ist festzuhalten, dass die angeordnete Beschlagnahme kein Bundesrecht verletzt. Die Beschwerde ist somit unbegründet.</w:t>
      </w:r>
    </w:p>
    <w:p>
      <w:r>
        <w:t>5. Die Beschwerde ist vollumfänglich abzuweisen.</w:t>
      </w:r>
    </w:p>
    <w:p>
      <w:r>
        <w:t>6.</w:t>
      </w:r>
    </w:p>
    <w:p>
      <w:r>
        <w:t>6.1 Die Beschwerdeführerin ersucht um unentgeltliche Rechtspflege (BP.2021.27, act. 1).</w:t>
      </w:r>
    </w:p>
    <w:p>
      <w:r>
        <w:t>6.2 Art. 29 Abs. 3 BV gibt einer bedürftigen Partei in einem für sie nicht aus- sichtslosen Verfahren Anspruch auf unentgeltliche Rechtspflege (BGE 135 I 91 E. 2.4.2.2 S. 96; 133 III 614 E. 5 S. 616).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142 III 138 E. 5.1 S. 139 f.; 140 V 521 E. 9.1).</w:t>
      </w:r>
    </w:p>
    <w:p>
      <w:r>
        <w:t>6.3 Die Beschwerde erwies sich nach dem oben Ausgeführten als aussichtslos. Das Gesuch um unentgeltliche Rechtspflege BP.2020.27 ist unbesehen der finanziellen Verhältnisse der Beschwerdeführerin aufgrund der Auslosigkeit der vorliegenden Beschwerde abzuweisen (vgl. Art. 29 Abs. 3 BV).</w:t>
      </w:r>
    </w:p>
    <w:p>
      <w:r>
        <w:t>6.4 Bei diesem Ausgang des Verfahrens hat die Beschwerdeführerin als unter- liegende Partei die Gerichtskosten zu tragen (Art. 25 Abs. 4 VStrR i.V.m. Art. 66 Abs. 1 BGG analog, siehe dazu TPF 2011 25 E. 3). Die Gerichtsge- bühr ist unter Berücksichtigung der finanziellen Verhältnisse der Beschwer- deführerin auf Fr. 1'000.-- festzusetzen (vgl. Art. 5 und 8 Abs. 1 des Regle- ments des Bundesstrafgerichts vom 31. August 2010 über die Kosten, Ge- bühren und Entschädigungen in Bundesstrafverfahren [BStKR; SR 173.713.162]).</w:t>
      </w:r>
    </w:p>
    <w:p>
      <w:r>
        <w:t>- 10 -</w:t>
      </w:r>
    </w:p>
    <w:p>
      <w:r>
        <w:rPr>
          <w:b/>
        </w:rPr>
        <w:t>E. 9</w:t>
      </w:r>
    </w:p>
    <w:p>
      <w:r>
        <w:t>Mai 2019 bei der StA BS zusammenfassend an, der sichergestellte Spiel- automat sei ihr ein oder zwei Jahre zuvor von C. gebracht worden. Auf dem Gerät könne man mit 20-er und 50-er Noten spielen. C. sei alle 2-3 Wochen vorbeigekommen, um das Geld aus dem Spielautomaten zu entnehmen. Er habe das Gerät geöffnet, das Geld entnommen, die Rechnung gemacht und das Programm gelöscht. C. habe sie nicht täglich besucht, da sie nicht viele Kunden gehabt habe, die gespielt hätten. Daher habe der Spielautomat nicht viel Geld enthalten. Neben C., welcher einen Schlüssel gehabt habe, mit welchem er die Automaten geöffnet habe, habe auch sie zwei Schlüssel dazu besessen und manchmal aus dem Automaten Geld entnommen, was C. jedoch verärgert habe. C. habe sie am Erlös beteiligen lassen. Beispiels- weise habe sie bei einem Kasseninhalt von Fr. 200.-- ca. Fr. 60.-- erhalten. Ebenso gab die Beschwerdeführerin an, spielsüchtig zu sein und auf dem Automaten meistens alleine gespielt zu haben. Den Vorhalt, in ihrer Woh- nung für C. einen Standort mit Glücksspiel betrieben zu haben, bejahte die Beschwerdeführerin (act. 2.8, S. 9 ff.,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